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76" w:rsidRPr="006A6F7F" w:rsidRDefault="00BF4D76" w:rsidP="00BF4D76">
      <w:pPr>
        <w:pStyle w:val="Level3"/>
        <w:numPr>
          <w:ilvl w:val="0"/>
          <w:numId w:val="0"/>
        </w:numPr>
      </w:pPr>
      <w:bookmarkStart w:id="0" w:name="_GoBack"/>
      <w:bookmarkEnd w:id="0"/>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pPr>
    </w:p>
    <w:p w:rsidR="00BF4D76" w:rsidRDefault="00BF4D76" w:rsidP="00BF4D76">
      <w:pPr>
        <w:ind w:left="1920"/>
        <w:rPr>
          <w:sz w:val="36"/>
        </w:rPr>
      </w:pPr>
      <w:r>
        <w:rPr>
          <w:sz w:val="36"/>
        </w:rPr>
        <w:t>The Senate</w:t>
      </w:r>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pPr>
    </w:p>
    <w:p w:rsidR="00BF4D76" w:rsidRPr="006A6F7F" w:rsidRDefault="00BF4D76" w:rsidP="00BF4D76">
      <w:pPr>
        <w:pStyle w:val="Level3"/>
        <w:numPr>
          <w:ilvl w:val="0"/>
          <w:numId w:val="0"/>
        </w:numPr>
        <w:tabs>
          <w:tab w:val="left" w:pos="1920"/>
        </w:tabs>
        <w:spacing w:after="120"/>
        <w:ind w:right="866"/>
        <w:jc w:val="left"/>
      </w:pPr>
    </w:p>
    <w:p w:rsidR="00BF4D76" w:rsidRDefault="00BF4D76" w:rsidP="00BF4D76">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BF4D76" w:rsidRPr="004A0A31" w:rsidRDefault="00BF4D76" w:rsidP="00BF4D76">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BF4D76" w:rsidRPr="002C2B31" w:rsidRDefault="00BF4D76" w:rsidP="00BF4D76">
      <w:pPr>
        <w:tabs>
          <w:tab w:val="left" w:pos="8640"/>
        </w:tabs>
        <w:spacing w:before="720" w:after="0" w:line="460" w:lineRule="exact"/>
        <w:ind w:left="1922" w:right="1244"/>
        <w:jc w:val="left"/>
        <w:rPr>
          <w:sz w:val="36"/>
          <w:szCs w:val="36"/>
        </w:rPr>
      </w:pPr>
      <w:r>
        <w:rPr>
          <w:sz w:val="36"/>
          <w:szCs w:val="36"/>
        </w:rPr>
        <w:t>Delegated legislation monitor</w:t>
      </w:r>
    </w:p>
    <w:p w:rsidR="00BF4D76" w:rsidRDefault="00BF4D76" w:rsidP="00BF4D76">
      <w:pPr>
        <w:tabs>
          <w:tab w:val="left" w:pos="8789"/>
        </w:tabs>
        <w:spacing w:before="600" w:after="0" w:line="480" w:lineRule="exact"/>
        <w:ind w:left="1922" w:right="237"/>
        <w:jc w:val="left"/>
        <w:rPr>
          <w:sz w:val="24"/>
          <w:szCs w:val="24"/>
        </w:rPr>
      </w:pPr>
      <w:r>
        <w:rPr>
          <w:sz w:val="24"/>
          <w:szCs w:val="24"/>
        </w:rPr>
        <w:t xml:space="preserve">Monitor No. </w:t>
      </w:r>
      <w:r w:rsidR="00130E30">
        <w:rPr>
          <w:sz w:val="24"/>
          <w:szCs w:val="24"/>
        </w:rPr>
        <w:t>2</w:t>
      </w:r>
      <w:r>
        <w:rPr>
          <w:sz w:val="24"/>
          <w:szCs w:val="24"/>
        </w:rPr>
        <w:t xml:space="preserve"> of 2013</w:t>
      </w:r>
    </w:p>
    <w:p w:rsidR="001C1B43" w:rsidRDefault="001C1B43" w:rsidP="001C1B43">
      <w:pPr>
        <w:tabs>
          <w:tab w:val="left" w:pos="8789"/>
        </w:tabs>
        <w:spacing w:before="120" w:after="0" w:line="480" w:lineRule="exact"/>
        <w:ind w:left="1922" w:right="238"/>
        <w:jc w:val="left"/>
        <w:rPr>
          <w:sz w:val="24"/>
          <w:szCs w:val="24"/>
        </w:rPr>
      </w:pPr>
    </w:p>
    <w:p w:rsidR="001C1B43" w:rsidRDefault="001C1B43" w:rsidP="001C1B43">
      <w:pPr>
        <w:tabs>
          <w:tab w:val="left" w:pos="8789"/>
        </w:tabs>
        <w:spacing w:after="0" w:line="380" w:lineRule="exact"/>
        <w:ind w:left="1922" w:right="238"/>
        <w:jc w:val="left"/>
        <w:rPr>
          <w:sz w:val="24"/>
          <w:szCs w:val="24"/>
        </w:rPr>
      </w:pPr>
    </w:p>
    <w:p w:rsidR="001C1B43" w:rsidRDefault="001C1B43" w:rsidP="001C1B43">
      <w:pPr>
        <w:tabs>
          <w:tab w:val="left" w:pos="8789"/>
        </w:tabs>
        <w:spacing w:after="0" w:line="240" w:lineRule="exact"/>
        <w:ind w:left="1922" w:right="238"/>
        <w:jc w:val="left"/>
        <w:rPr>
          <w:sz w:val="24"/>
          <w:szCs w:val="24"/>
        </w:rPr>
      </w:pPr>
    </w:p>
    <w:p w:rsidR="001C1B43" w:rsidRPr="002D2B97" w:rsidRDefault="001C1B43" w:rsidP="001C1B43">
      <w:pPr>
        <w:tabs>
          <w:tab w:val="left" w:pos="8789"/>
        </w:tabs>
        <w:spacing w:after="0" w:line="480" w:lineRule="exact"/>
        <w:ind w:left="1922" w:right="238"/>
        <w:jc w:val="left"/>
        <w:rPr>
          <w:sz w:val="24"/>
          <w:szCs w:val="24"/>
        </w:rPr>
      </w:pPr>
    </w:p>
    <w:p w:rsidR="00BF4D76" w:rsidRDefault="00BF4D76" w:rsidP="00BF4D76">
      <w:pPr>
        <w:rPr>
          <w:sz w:val="18"/>
        </w:rPr>
      </w:pPr>
    </w:p>
    <w:p w:rsidR="00BF4D76" w:rsidRDefault="00BF4D76" w:rsidP="00BF4D76">
      <w:pPr>
        <w:rPr>
          <w:sz w:val="18"/>
        </w:rPr>
      </w:pPr>
    </w:p>
    <w:p w:rsidR="00BF4D76" w:rsidRDefault="00BF4D76" w:rsidP="00BF4D76">
      <w:pPr>
        <w:rPr>
          <w:sz w:val="18"/>
        </w:rPr>
      </w:pPr>
    </w:p>
    <w:p w:rsidR="00BF4D76" w:rsidRDefault="00BF4D76" w:rsidP="00BF4D76">
      <w:pPr>
        <w:rPr>
          <w:sz w:val="18"/>
        </w:rPr>
      </w:pPr>
    </w:p>
    <w:p w:rsidR="00BF4D76" w:rsidRDefault="00BF4D76" w:rsidP="00BF4D76">
      <w:pPr>
        <w:rPr>
          <w:sz w:val="18"/>
        </w:rPr>
      </w:pPr>
    </w:p>
    <w:p w:rsidR="00BF4D76" w:rsidRPr="00BF4D76" w:rsidRDefault="00BF4D76" w:rsidP="00BF4D76">
      <w:pPr>
        <w:tabs>
          <w:tab w:val="right" w:pos="8789"/>
        </w:tabs>
        <w:spacing w:after="0"/>
        <w:jc w:val="left"/>
        <w:rPr>
          <w:rFonts w:ascii="Frutiger 55 roman" w:hAnsi="Frutiger 55 roman" w:cs="Calibri"/>
          <w:sz w:val="28"/>
        </w:rPr>
      </w:pPr>
      <w:r>
        <w:rPr>
          <w:sz w:val="28"/>
        </w:rPr>
        <w:tab/>
      </w:r>
      <w:r w:rsidR="00130E30">
        <w:rPr>
          <w:sz w:val="28"/>
        </w:rPr>
        <w:t>28</w:t>
      </w:r>
      <w:r w:rsidR="00097619">
        <w:rPr>
          <w:sz w:val="28"/>
        </w:rPr>
        <w:t xml:space="preserve"> February</w:t>
      </w:r>
      <w:r w:rsidR="005079E2">
        <w:rPr>
          <w:rFonts w:ascii="Frutiger 55 roman" w:hAnsi="Frutiger 55 roman" w:cs="Calibri"/>
          <w:sz w:val="28"/>
        </w:rPr>
        <w:t xml:space="preserve"> </w:t>
      </w:r>
      <w:r w:rsidRPr="00BF4D76">
        <w:rPr>
          <w:rFonts w:ascii="Frutiger 55 roman" w:hAnsi="Frutiger 55 roman" w:cs="Calibri"/>
          <w:sz w:val="28"/>
        </w:rPr>
        <w:t>201</w:t>
      </w:r>
      <w:r w:rsidR="005079E2">
        <w:rPr>
          <w:rFonts w:ascii="Frutiger 55 roman" w:hAnsi="Frutiger 55 roman" w:cs="Calibri"/>
          <w:sz w:val="28"/>
        </w:rPr>
        <w:t>3</w:t>
      </w:r>
    </w:p>
    <w:p w:rsidR="00BF4D76" w:rsidRPr="001F6A19" w:rsidRDefault="00BF4D76" w:rsidP="00BF4D76">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BF4D76" w:rsidRPr="001F6A19" w:rsidRDefault="00BF4D76" w:rsidP="00BF4D76">
      <w:pPr>
        <w:suppressAutoHyphens/>
        <w:spacing w:after="0"/>
        <w:rPr>
          <w:spacing w:val="-3"/>
          <w:sz w:val="24"/>
          <w:szCs w:val="24"/>
        </w:rPr>
      </w:pPr>
    </w:p>
    <w:p w:rsidR="00BF4D76" w:rsidRPr="00B301F1" w:rsidRDefault="00B301F1" w:rsidP="00BF4D76">
      <w:pPr>
        <w:spacing w:after="0"/>
        <w:outlineLvl w:val="0"/>
        <w:rPr>
          <w:spacing w:val="-3"/>
          <w:sz w:val="24"/>
          <w:szCs w:val="24"/>
        </w:rPr>
      </w:pPr>
      <w:r>
        <w:rPr>
          <w:spacing w:val="-3"/>
          <w:sz w:val="24"/>
          <w:szCs w:val="24"/>
        </w:rPr>
        <w:t xml:space="preserve">ISSN </w:t>
      </w:r>
      <w:r w:rsidR="00E958CD" w:rsidRPr="00B301F1">
        <w:rPr>
          <w:spacing w:val="-3"/>
          <w:sz w:val="24"/>
          <w:szCs w:val="24"/>
        </w:rPr>
        <w:t>2201-8689 (print)</w:t>
      </w:r>
    </w:p>
    <w:p w:rsidR="001C1B43" w:rsidRPr="00B301F1" w:rsidRDefault="00AB5EFE" w:rsidP="00BF4D76">
      <w:pPr>
        <w:spacing w:after="0"/>
        <w:outlineLvl w:val="0"/>
        <w:rPr>
          <w:spacing w:val="-3"/>
          <w:sz w:val="24"/>
          <w:szCs w:val="24"/>
        </w:rPr>
      </w:pPr>
      <w:r w:rsidRPr="00B301F1">
        <w:rPr>
          <w:spacing w:val="-3"/>
          <w:sz w:val="24"/>
          <w:szCs w:val="24"/>
        </w:rPr>
        <w:t>ISSN</w:t>
      </w:r>
      <w:r w:rsidR="00B301F1">
        <w:rPr>
          <w:spacing w:val="-3"/>
          <w:sz w:val="24"/>
          <w:szCs w:val="24"/>
        </w:rPr>
        <w:t xml:space="preserve"> </w:t>
      </w:r>
      <w:r w:rsidR="00E958CD" w:rsidRPr="00B301F1">
        <w:rPr>
          <w:spacing w:val="-3"/>
          <w:sz w:val="24"/>
          <w:szCs w:val="24"/>
        </w:rPr>
        <w:t>1447-2147 (online)</w:t>
      </w: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F4D76" w:rsidRDefault="00BF4D76" w:rsidP="00BF4D76">
      <w:pPr>
        <w:suppressAutoHyphens/>
        <w:spacing w:after="0"/>
        <w:rPr>
          <w:spacing w:val="-3"/>
        </w:rPr>
      </w:pPr>
    </w:p>
    <w:p w:rsidR="00B301F1" w:rsidRDefault="00B301F1" w:rsidP="00BF4D76">
      <w:pPr>
        <w:suppressAutoHyphens/>
        <w:spacing w:after="0"/>
        <w:rPr>
          <w:spacing w:val="-3"/>
        </w:rPr>
      </w:pPr>
    </w:p>
    <w:p w:rsidR="00B301F1" w:rsidRDefault="00B301F1" w:rsidP="00BF4D76">
      <w:pPr>
        <w:suppressAutoHyphens/>
        <w:spacing w:after="0"/>
        <w:rPr>
          <w:spacing w:val="-3"/>
        </w:rPr>
      </w:pPr>
    </w:p>
    <w:p w:rsidR="008702B8" w:rsidRDefault="00BF4D76" w:rsidP="00B301F1">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w:t>
      </w:r>
      <w:r w:rsidR="00B301F1">
        <w:rPr>
          <w:spacing w:val="-3"/>
          <w:sz w:val="22"/>
          <w:szCs w:val="22"/>
        </w:rPr>
        <w:t xml:space="preserve">te, Parliament House, </w:t>
      </w:r>
      <w:proofErr w:type="gramStart"/>
      <w:r w:rsidR="00B301F1">
        <w:rPr>
          <w:spacing w:val="-3"/>
          <w:sz w:val="22"/>
          <w:szCs w:val="22"/>
        </w:rPr>
        <w:t>Canberra</w:t>
      </w:r>
      <w:proofErr w:type="gramEnd"/>
      <w:r w:rsidR="00B301F1">
        <w:rPr>
          <w:spacing w:val="-3"/>
          <w:sz w:val="22"/>
          <w:szCs w:val="22"/>
        </w:rPr>
        <w:t>.</w:t>
      </w:r>
    </w:p>
    <w:p w:rsidR="008702B8" w:rsidRDefault="008702B8" w:rsidP="008702B8">
      <w:pPr>
        <w:pStyle w:val="Heading1"/>
      </w:pPr>
      <w:r>
        <w:rPr>
          <w:spacing w:val="-3"/>
          <w:sz w:val="22"/>
          <w:szCs w:val="22"/>
        </w:rPr>
        <w:br w:type="page"/>
      </w:r>
      <w:bookmarkStart w:id="1" w:name="_Toc340231481"/>
      <w:r>
        <w:lastRenderedPageBreak/>
        <w:t>Membership of the committee</w:t>
      </w:r>
      <w:bookmarkEnd w:id="1"/>
    </w:p>
    <w:p w:rsidR="008702B8" w:rsidRDefault="008702B8" w:rsidP="008702B8">
      <w:pPr>
        <w:spacing w:after="0"/>
      </w:pPr>
    </w:p>
    <w:p w:rsidR="008702B8" w:rsidRDefault="008702B8" w:rsidP="008702B8">
      <w:pPr>
        <w:spacing w:after="0"/>
      </w:pPr>
    </w:p>
    <w:p w:rsidR="008702B8" w:rsidRDefault="008702B8" w:rsidP="008702B8">
      <w:pPr>
        <w:spacing w:after="0"/>
      </w:pPr>
    </w:p>
    <w:p w:rsidR="008702B8" w:rsidRDefault="008702B8" w:rsidP="008702B8">
      <w:pPr>
        <w:spacing w:after="0"/>
      </w:pPr>
    </w:p>
    <w:p w:rsidR="008702B8" w:rsidRDefault="008702B8" w:rsidP="008702B8">
      <w:pPr>
        <w:spacing w:after="0"/>
      </w:pPr>
    </w:p>
    <w:p w:rsidR="008702B8" w:rsidRPr="008A46B0" w:rsidRDefault="008702B8" w:rsidP="008702B8">
      <w:pPr>
        <w:tabs>
          <w:tab w:val="left" w:pos="4536"/>
        </w:tabs>
        <w:outlineLvl w:val="0"/>
        <w:rPr>
          <w:b/>
        </w:rPr>
      </w:pPr>
      <w:bookmarkStart w:id="2" w:name="_Toc340231482"/>
      <w:r>
        <w:rPr>
          <w:b/>
        </w:rPr>
        <w:t>Current m</w:t>
      </w:r>
      <w:r w:rsidRPr="008A46B0">
        <w:rPr>
          <w:b/>
        </w:rPr>
        <w:t>embers</w:t>
      </w:r>
      <w:bookmarkEnd w:id="2"/>
    </w:p>
    <w:p w:rsidR="008702B8" w:rsidRPr="001F6A19" w:rsidRDefault="008702B8" w:rsidP="008702B8">
      <w:pPr>
        <w:pStyle w:val="JNP2"/>
        <w:tabs>
          <w:tab w:val="right" w:pos="9026"/>
        </w:tabs>
        <w:ind w:left="0"/>
        <w:rPr>
          <w:sz w:val="24"/>
          <w:szCs w:val="24"/>
          <w:lang w:val="en-AU"/>
        </w:rPr>
      </w:pPr>
      <w:r w:rsidRPr="001F6A19">
        <w:rPr>
          <w:sz w:val="24"/>
          <w:szCs w:val="24"/>
          <w:lang w:val="en-AU"/>
        </w:rPr>
        <w:t>Senator Mark Furner (Chair)</w:t>
      </w:r>
      <w:r w:rsidRPr="001F6A19">
        <w:rPr>
          <w:sz w:val="24"/>
          <w:szCs w:val="24"/>
          <w:lang w:val="en-AU"/>
        </w:rPr>
        <w:tab/>
        <w:t>Queensland, ALP</w:t>
      </w:r>
    </w:p>
    <w:p w:rsidR="008702B8" w:rsidRPr="001F6A19" w:rsidRDefault="008702B8" w:rsidP="008702B8">
      <w:pPr>
        <w:pStyle w:val="JNP2"/>
        <w:tabs>
          <w:tab w:val="right" w:pos="9026"/>
        </w:tabs>
        <w:ind w:left="0"/>
        <w:rPr>
          <w:sz w:val="24"/>
          <w:szCs w:val="24"/>
          <w:lang w:val="en-AU"/>
        </w:rPr>
      </w:pPr>
      <w:r>
        <w:rPr>
          <w:sz w:val="24"/>
          <w:szCs w:val="24"/>
          <w:lang w:val="en-AU"/>
        </w:rPr>
        <w:t>Senator the Hon Richard Colbeck (Deputy Chair)</w:t>
      </w:r>
      <w:r>
        <w:rPr>
          <w:sz w:val="24"/>
          <w:szCs w:val="24"/>
          <w:lang w:val="en-AU"/>
        </w:rPr>
        <w:tab/>
        <w:t>Tasmania, LP</w:t>
      </w:r>
    </w:p>
    <w:p w:rsidR="008702B8" w:rsidRDefault="008702B8" w:rsidP="008702B8">
      <w:pPr>
        <w:pStyle w:val="JNP2"/>
        <w:tabs>
          <w:tab w:val="right" w:pos="9026"/>
        </w:tabs>
        <w:ind w:left="0"/>
        <w:rPr>
          <w:sz w:val="24"/>
          <w:szCs w:val="24"/>
          <w:lang w:val="en-AU"/>
        </w:rPr>
      </w:pPr>
      <w:r w:rsidRPr="001F6A19">
        <w:rPr>
          <w:sz w:val="24"/>
          <w:szCs w:val="24"/>
          <w:lang w:val="en-AU"/>
        </w:rPr>
        <w:t>Senator Claire Moore</w:t>
      </w:r>
      <w:r w:rsidRPr="001F6A19">
        <w:rPr>
          <w:sz w:val="24"/>
          <w:szCs w:val="24"/>
          <w:lang w:val="en-AU"/>
        </w:rPr>
        <w:tab/>
        <w:t>Queensland, ALP</w:t>
      </w:r>
    </w:p>
    <w:p w:rsidR="008702B8" w:rsidRPr="001F6A19" w:rsidRDefault="008702B8" w:rsidP="008702B8">
      <w:pPr>
        <w:pStyle w:val="JNP2"/>
        <w:tabs>
          <w:tab w:val="right" w:pos="9026"/>
        </w:tabs>
        <w:ind w:left="0"/>
        <w:rPr>
          <w:sz w:val="24"/>
          <w:szCs w:val="24"/>
          <w:lang w:val="en-AU"/>
        </w:rPr>
      </w:pPr>
      <w:r>
        <w:rPr>
          <w:sz w:val="24"/>
          <w:szCs w:val="24"/>
          <w:lang w:val="en-AU"/>
        </w:rPr>
        <w:t>Senator Louise Pratt</w:t>
      </w:r>
      <w:r>
        <w:rPr>
          <w:sz w:val="24"/>
          <w:szCs w:val="24"/>
          <w:lang w:val="en-AU"/>
        </w:rPr>
        <w:tab/>
        <w:t>Western Australia, ALP</w:t>
      </w:r>
    </w:p>
    <w:p w:rsidR="008702B8" w:rsidRPr="001F6A19" w:rsidRDefault="008702B8" w:rsidP="008702B8">
      <w:pPr>
        <w:pStyle w:val="JNP2"/>
        <w:tabs>
          <w:tab w:val="right" w:pos="9026"/>
        </w:tabs>
        <w:ind w:left="0"/>
        <w:rPr>
          <w:sz w:val="24"/>
          <w:szCs w:val="24"/>
          <w:lang w:val="en-AU"/>
        </w:rPr>
      </w:pPr>
      <w:r w:rsidRPr="001F6A19">
        <w:rPr>
          <w:sz w:val="24"/>
          <w:szCs w:val="24"/>
          <w:lang w:val="en-AU"/>
        </w:rPr>
        <w:t>Senator Scott Ryan</w:t>
      </w:r>
      <w:r w:rsidRPr="001F6A19">
        <w:rPr>
          <w:sz w:val="24"/>
          <w:szCs w:val="24"/>
          <w:lang w:val="en-AU"/>
        </w:rPr>
        <w:tab/>
        <w:t>Victoria, LP</w:t>
      </w:r>
    </w:p>
    <w:p w:rsidR="008702B8" w:rsidRDefault="008702B8" w:rsidP="008702B8">
      <w:pPr>
        <w:pStyle w:val="JNP2"/>
        <w:tabs>
          <w:tab w:val="right" w:pos="9026"/>
        </w:tabs>
        <w:ind w:left="0"/>
        <w:rPr>
          <w:sz w:val="24"/>
          <w:szCs w:val="24"/>
          <w:lang w:val="en-AU"/>
        </w:rPr>
      </w:pPr>
      <w:r>
        <w:rPr>
          <w:sz w:val="24"/>
          <w:szCs w:val="24"/>
          <w:lang w:val="en-AU"/>
        </w:rPr>
        <w:t>Senator Arthur Sinodinos AO</w:t>
      </w:r>
      <w:r>
        <w:rPr>
          <w:sz w:val="24"/>
          <w:szCs w:val="24"/>
          <w:lang w:val="en-AU"/>
        </w:rPr>
        <w:tab/>
        <w:t>New South Wales, LP</w:t>
      </w:r>
    </w:p>
    <w:p w:rsidR="008702B8" w:rsidRDefault="008702B8" w:rsidP="008702B8">
      <w:pPr>
        <w:spacing w:after="0"/>
        <w:rPr>
          <w:sz w:val="24"/>
          <w:szCs w:val="24"/>
        </w:rPr>
      </w:pPr>
    </w:p>
    <w:p w:rsidR="008702B8" w:rsidRDefault="008702B8" w:rsidP="008702B8">
      <w:pPr>
        <w:spacing w:after="0"/>
        <w:rPr>
          <w:sz w:val="24"/>
          <w:szCs w:val="24"/>
        </w:rPr>
      </w:pPr>
    </w:p>
    <w:p w:rsidR="008702B8" w:rsidRDefault="008702B8" w:rsidP="008702B8">
      <w:pPr>
        <w:spacing w:after="0"/>
        <w:rPr>
          <w:sz w:val="24"/>
          <w:szCs w:val="24"/>
        </w:rPr>
      </w:pPr>
    </w:p>
    <w:p w:rsidR="008702B8" w:rsidRDefault="008702B8" w:rsidP="008702B8">
      <w:pPr>
        <w:spacing w:after="0"/>
        <w:rPr>
          <w:sz w:val="24"/>
          <w:szCs w:val="24"/>
        </w:rPr>
      </w:pPr>
    </w:p>
    <w:p w:rsidR="008702B8" w:rsidRDefault="008702B8" w:rsidP="008702B8">
      <w:pPr>
        <w:spacing w:after="0"/>
        <w:rPr>
          <w:sz w:val="24"/>
          <w:szCs w:val="24"/>
        </w:rPr>
      </w:pPr>
    </w:p>
    <w:p w:rsidR="008702B8" w:rsidRPr="00915990" w:rsidRDefault="008702B8" w:rsidP="008702B8">
      <w:pPr>
        <w:keepNext/>
        <w:outlineLvl w:val="0"/>
        <w:rPr>
          <w:b/>
        </w:rPr>
      </w:pPr>
      <w:bookmarkStart w:id="3" w:name="_Toc340231484"/>
      <w:r w:rsidRPr="00915990">
        <w:rPr>
          <w:b/>
        </w:rPr>
        <w:t>S</w:t>
      </w:r>
      <w:r>
        <w:rPr>
          <w:b/>
        </w:rPr>
        <w:t>ecretariat</w:t>
      </w:r>
      <w:bookmarkEnd w:id="3"/>
    </w:p>
    <w:p w:rsidR="008702B8" w:rsidRPr="007A6AAA" w:rsidRDefault="008702B8" w:rsidP="008702B8">
      <w:pPr>
        <w:keepNext/>
        <w:spacing w:after="0"/>
        <w:outlineLvl w:val="0"/>
        <w:rPr>
          <w:sz w:val="24"/>
          <w:szCs w:val="24"/>
        </w:rPr>
      </w:pPr>
      <w:bookmarkStart w:id="4" w:name="_Toc340231485"/>
      <w:r w:rsidRPr="007A6AAA">
        <w:rPr>
          <w:sz w:val="24"/>
          <w:szCs w:val="24"/>
        </w:rPr>
        <w:t>Mr Ivan Powell, Secretary</w:t>
      </w:r>
      <w:bookmarkEnd w:id="4"/>
    </w:p>
    <w:p w:rsidR="008702B8" w:rsidRPr="007A6AAA" w:rsidRDefault="008702B8" w:rsidP="008702B8">
      <w:pPr>
        <w:keepNext/>
        <w:spacing w:after="0"/>
        <w:rPr>
          <w:sz w:val="24"/>
          <w:szCs w:val="24"/>
        </w:rPr>
      </w:pPr>
      <w:r w:rsidRPr="007A6AAA">
        <w:rPr>
          <w:sz w:val="24"/>
          <w:szCs w:val="24"/>
        </w:rPr>
        <w:t>Ms Janice Paull, Senior Research Officer</w:t>
      </w:r>
    </w:p>
    <w:p w:rsidR="008702B8" w:rsidRDefault="008702B8" w:rsidP="008702B8">
      <w:pPr>
        <w:spacing w:after="0"/>
        <w:rPr>
          <w:sz w:val="24"/>
          <w:szCs w:val="24"/>
        </w:rPr>
      </w:pPr>
    </w:p>
    <w:p w:rsidR="008702B8" w:rsidRDefault="008702B8" w:rsidP="008702B8">
      <w:pPr>
        <w:spacing w:after="0"/>
        <w:rPr>
          <w:sz w:val="24"/>
          <w:szCs w:val="24"/>
        </w:rPr>
      </w:pPr>
    </w:p>
    <w:p w:rsidR="008702B8" w:rsidRDefault="008702B8" w:rsidP="008702B8">
      <w:pPr>
        <w:spacing w:after="0"/>
        <w:rPr>
          <w:sz w:val="24"/>
          <w:szCs w:val="24"/>
        </w:rPr>
      </w:pPr>
    </w:p>
    <w:p w:rsidR="008702B8" w:rsidRDefault="008702B8" w:rsidP="008702B8">
      <w:pPr>
        <w:spacing w:after="0"/>
        <w:rPr>
          <w:sz w:val="24"/>
          <w:szCs w:val="24"/>
        </w:rPr>
      </w:pPr>
    </w:p>
    <w:p w:rsidR="008702B8" w:rsidRPr="007A6AAA" w:rsidRDefault="008702B8" w:rsidP="008702B8">
      <w:pPr>
        <w:spacing w:after="0"/>
        <w:rPr>
          <w:sz w:val="24"/>
          <w:szCs w:val="24"/>
        </w:rPr>
      </w:pPr>
    </w:p>
    <w:p w:rsidR="008702B8" w:rsidRPr="00915990" w:rsidRDefault="008702B8" w:rsidP="008702B8">
      <w:pPr>
        <w:keepNext/>
        <w:outlineLvl w:val="0"/>
        <w:rPr>
          <w:b/>
        </w:rPr>
      </w:pPr>
      <w:bookmarkStart w:id="5" w:name="_Toc340231486"/>
      <w:r>
        <w:rPr>
          <w:b/>
        </w:rPr>
        <w:t>Committee legal adviser</w:t>
      </w:r>
      <w:bookmarkEnd w:id="5"/>
    </w:p>
    <w:p w:rsidR="008702B8" w:rsidRPr="001B64F3" w:rsidRDefault="008702B8" w:rsidP="008702B8">
      <w:pPr>
        <w:keepNext/>
        <w:spacing w:after="0"/>
        <w:rPr>
          <w:sz w:val="24"/>
          <w:szCs w:val="24"/>
        </w:rPr>
      </w:pPr>
      <w:r>
        <w:rPr>
          <w:sz w:val="24"/>
          <w:szCs w:val="24"/>
        </w:rPr>
        <w:t>Mr Stephen Argument</w:t>
      </w:r>
    </w:p>
    <w:p w:rsidR="008702B8" w:rsidRDefault="008702B8" w:rsidP="008702B8">
      <w:pPr>
        <w:spacing w:after="0"/>
        <w:rPr>
          <w:sz w:val="24"/>
          <w:szCs w:val="24"/>
        </w:rPr>
      </w:pPr>
    </w:p>
    <w:p w:rsidR="008702B8" w:rsidRDefault="008702B8" w:rsidP="008702B8">
      <w:pPr>
        <w:spacing w:after="0"/>
        <w:rPr>
          <w:sz w:val="24"/>
          <w:szCs w:val="24"/>
        </w:rPr>
      </w:pPr>
    </w:p>
    <w:p w:rsidR="008702B8" w:rsidRDefault="008702B8" w:rsidP="008702B8">
      <w:pPr>
        <w:spacing w:after="0"/>
        <w:rPr>
          <w:sz w:val="24"/>
          <w:szCs w:val="24"/>
        </w:rPr>
      </w:pPr>
    </w:p>
    <w:p w:rsidR="008702B8" w:rsidRPr="001B64F3" w:rsidRDefault="008702B8" w:rsidP="008702B8">
      <w:pPr>
        <w:spacing w:after="0"/>
        <w:rPr>
          <w:sz w:val="24"/>
          <w:szCs w:val="24"/>
        </w:rPr>
      </w:pPr>
    </w:p>
    <w:p w:rsidR="008702B8" w:rsidRPr="001B64F3" w:rsidRDefault="008702B8" w:rsidP="008702B8">
      <w:pPr>
        <w:spacing w:after="0"/>
        <w:rPr>
          <w:sz w:val="24"/>
          <w:szCs w:val="24"/>
        </w:rPr>
      </w:pPr>
    </w:p>
    <w:p w:rsidR="008702B8" w:rsidRPr="001F6A19" w:rsidRDefault="008702B8" w:rsidP="008702B8">
      <w:pPr>
        <w:keepNext/>
        <w:outlineLvl w:val="0"/>
        <w:rPr>
          <w:b/>
        </w:rPr>
      </w:pPr>
      <w:bookmarkStart w:id="6" w:name="_Toc340231487"/>
      <w:r>
        <w:rPr>
          <w:b/>
        </w:rPr>
        <w:t>Committee contacts</w:t>
      </w:r>
      <w:bookmarkEnd w:id="6"/>
    </w:p>
    <w:p w:rsidR="008702B8" w:rsidRPr="001F6A19" w:rsidRDefault="008702B8" w:rsidP="008702B8">
      <w:pPr>
        <w:keepNext/>
        <w:spacing w:after="0"/>
        <w:outlineLvl w:val="0"/>
        <w:rPr>
          <w:sz w:val="24"/>
          <w:szCs w:val="24"/>
        </w:rPr>
      </w:pPr>
      <w:bookmarkStart w:id="7" w:name="_Toc340231488"/>
      <w:r w:rsidRPr="001F6A19">
        <w:rPr>
          <w:sz w:val="24"/>
          <w:szCs w:val="24"/>
        </w:rPr>
        <w:t>PO Box 6100</w:t>
      </w:r>
      <w:bookmarkEnd w:id="7"/>
    </w:p>
    <w:p w:rsidR="008702B8" w:rsidRPr="001F6A19" w:rsidRDefault="008702B8" w:rsidP="008702B8">
      <w:pPr>
        <w:keepNext/>
        <w:spacing w:after="0"/>
        <w:rPr>
          <w:sz w:val="24"/>
          <w:szCs w:val="24"/>
        </w:rPr>
      </w:pPr>
      <w:r w:rsidRPr="001F6A19">
        <w:rPr>
          <w:sz w:val="24"/>
          <w:szCs w:val="24"/>
        </w:rPr>
        <w:t>Parliament House</w:t>
      </w:r>
    </w:p>
    <w:p w:rsidR="008702B8" w:rsidRPr="001F6A19" w:rsidRDefault="008702B8" w:rsidP="008702B8">
      <w:pPr>
        <w:keepNext/>
        <w:spacing w:after="0"/>
        <w:rPr>
          <w:sz w:val="24"/>
          <w:szCs w:val="24"/>
        </w:rPr>
      </w:pPr>
      <w:r w:rsidRPr="001F6A19">
        <w:rPr>
          <w:sz w:val="24"/>
          <w:szCs w:val="24"/>
        </w:rPr>
        <w:t>Canberra ACT 2600</w:t>
      </w:r>
    </w:p>
    <w:p w:rsidR="008702B8" w:rsidRDefault="008702B8" w:rsidP="008702B8">
      <w:pPr>
        <w:keepNext/>
        <w:tabs>
          <w:tab w:val="left" w:pos="600"/>
        </w:tabs>
        <w:spacing w:after="0"/>
        <w:rPr>
          <w:sz w:val="24"/>
          <w:szCs w:val="24"/>
        </w:rPr>
      </w:pPr>
      <w:r>
        <w:rPr>
          <w:sz w:val="24"/>
          <w:szCs w:val="24"/>
        </w:rPr>
        <w:t>Ph: 02 6277 3066</w:t>
      </w:r>
    </w:p>
    <w:p w:rsidR="008702B8" w:rsidRPr="001F6A19" w:rsidRDefault="008702B8" w:rsidP="008702B8">
      <w:pPr>
        <w:keepNext/>
        <w:tabs>
          <w:tab w:val="left" w:pos="600"/>
        </w:tabs>
        <w:spacing w:before="24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8702B8" w:rsidRDefault="008702B8" w:rsidP="008702B8">
      <w:pPr>
        <w:keepNext/>
        <w:spacing w:before="240" w:after="0"/>
        <w:outlineLvl w:val="0"/>
        <w:rPr>
          <w:sz w:val="24"/>
          <w:szCs w:val="24"/>
        </w:rPr>
      </w:pPr>
      <w:bookmarkStart w:id="8" w:name="_Toc340231489"/>
      <w:r>
        <w:rPr>
          <w:sz w:val="24"/>
          <w:szCs w:val="24"/>
        </w:rPr>
        <w:t xml:space="preserve">Website: </w:t>
      </w:r>
      <w:r w:rsidRPr="007A6AAA">
        <w:rPr>
          <w:sz w:val="20"/>
        </w:rPr>
        <w:t>http://www.aph.gov.au/Parliamentary_Business/Committees/Senate_Committees?url=regord_ctte/index.htm</w:t>
      </w:r>
      <w:bookmarkEnd w:id="8"/>
      <w:r>
        <w:rPr>
          <w:sz w:val="24"/>
          <w:szCs w:val="24"/>
        </w:rPr>
        <w:t xml:space="preserve"> </w:t>
      </w:r>
    </w:p>
    <w:p w:rsidR="008702B8" w:rsidRPr="005147D7" w:rsidRDefault="008702B8" w:rsidP="008702B8">
      <w:pPr>
        <w:pStyle w:val="Heading1"/>
        <w:spacing w:before="0" w:after="240"/>
      </w:pPr>
      <w:r>
        <w:br w:type="page"/>
      </w:r>
      <w:r>
        <w:lastRenderedPageBreak/>
        <w:br w:type="page"/>
      </w:r>
      <w:r>
        <w:lastRenderedPageBreak/>
        <w:t>C</w:t>
      </w:r>
      <w:r w:rsidRPr="005147D7">
        <w:t>ontents</w:t>
      </w:r>
    </w:p>
    <w:tbl>
      <w:tblPr>
        <w:tblW w:w="9180" w:type="dxa"/>
        <w:tblLook w:val="04A0" w:firstRow="1" w:lastRow="0" w:firstColumn="1" w:lastColumn="0" w:noHBand="0" w:noVBand="1"/>
      </w:tblPr>
      <w:tblGrid>
        <w:gridCol w:w="250"/>
        <w:gridCol w:w="8080"/>
        <w:gridCol w:w="850"/>
      </w:tblGrid>
      <w:tr w:rsidR="008702B8" w:rsidRPr="007532FF" w:rsidTr="001E0AC1">
        <w:tc>
          <w:tcPr>
            <w:tcW w:w="8330" w:type="dxa"/>
            <w:gridSpan w:val="2"/>
          </w:tcPr>
          <w:p w:rsidR="008702B8" w:rsidRPr="00A00401" w:rsidRDefault="008702B8" w:rsidP="001E0AC1">
            <w:pPr>
              <w:tabs>
                <w:tab w:val="right" w:pos="8789"/>
              </w:tabs>
              <w:spacing w:before="120" w:after="120"/>
              <w:rPr>
                <w:rStyle w:val="Strong"/>
              </w:rPr>
            </w:pPr>
            <w:r w:rsidRPr="00A00401">
              <w:rPr>
                <w:rStyle w:val="Strong"/>
              </w:rPr>
              <w:t>Membership of committee</w:t>
            </w:r>
          </w:p>
        </w:tc>
        <w:tc>
          <w:tcPr>
            <w:tcW w:w="850" w:type="dxa"/>
          </w:tcPr>
          <w:p w:rsidR="008702B8" w:rsidRPr="007532FF" w:rsidRDefault="008702B8" w:rsidP="001E0AC1">
            <w:pPr>
              <w:tabs>
                <w:tab w:val="right" w:pos="601"/>
                <w:tab w:val="right" w:pos="8789"/>
              </w:tabs>
              <w:spacing w:before="120" w:after="120"/>
              <w:ind w:left="317" w:right="-1077" w:hanging="317"/>
              <w:rPr>
                <w:sz w:val="22"/>
                <w:szCs w:val="22"/>
              </w:rPr>
            </w:pPr>
            <w:r>
              <w:rPr>
                <w:sz w:val="22"/>
                <w:szCs w:val="22"/>
              </w:rPr>
              <w:tab/>
              <w:t>iii</w:t>
            </w:r>
          </w:p>
        </w:tc>
      </w:tr>
      <w:tr w:rsidR="008702B8" w:rsidRPr="007532FF" w:rsidTr="001E0AC1">
        <w:tc>
          <w:tcPr>
            <w:tcW w:w="8330" w:type="dxa"/>
            <w:gridSpan w:val="2"/>
          </w:tcPr>
          <w:p w:rsidR="008702B8" w:rsidRPr="007532FF" w:rsidRDefault="008702B8" w:rsidP="001E0AC1">
            <w:pPr>
              <w:tabs>
                <w:tab w:val="left" w:pos="7655"/>
                <w:tab w:val="right" w:pos="8789"/>
              </w:tabs>
              <w:spacing w:before="120" w:after="120"/>
              <w:rPr>
                <w:rStyle w:val="Strong"/>
                <w:sz w:val="22"/>
                <w:szCs w:val="22"/>
              </w:rPr>
            </w:pPr>
            <w:r w:rsidRPr="00A00401">
              <w:rPr>
                <w:rStyle w:val="Strong"/>
              </w:rPr>
              <w:t>Introduction</w:t>
            </w:r>
          </w:p>
        </w:tc>
        <w:tc>
          <w:tcPr>
            <w:tcW w:w="850" w:type="dxa"/>
          </w:tcPr>
          <w:p w:rsidR="008702B8" w:rsidRPr="007532FF" w:rsidRDefault="008702B8" w:rsidP="001E0AC1">
            <w:pPr>
              <w:tabs>
                <w:tab w:val="right" w:pos="601"/>
                <w:tab w:val="right" w:pos="8789"/>
              </w:tabs>
              <w:spacing w:before="120" w:after="120"/>
              <w:ind w:left="317" w:right="-1077" w:hanging="317"/>
              <w:rPr>
                <w:sz w:val="22"/>
                <w:szCs w:val="22"/>
              </w:rPr>
            </w:pPr>
            <w:r w:rsidRPr="007532FF">
              <w:rPr>
                <w:sz w:val="22"/>
                <w:szCs w:val="22"/>
              </w:rPr>
              <w:tab/>
            </w:r>
            <w:r>
              <w:rPr>
                <w:sz w:val="22"/>
                <w:szCs w:val="22"/>
              </w:rPr>
              <w:t>vii</w:t>
            </w:r>
          </w:p>
        </w:tc>
      </w:tr>
      <w:tr w:rsidR="008702B8" w:rsidRPr="007532FF" w:rsidTr="001E0AC1">
        <w:tc>
          <w:tcPr>
            <w:tcW w:w="8330" w:type="dxa"/>
            <w:gridSpan w:val="2"/>
          </w:tcPr>
          <w:p w:rsidR="008702B8" w:rsidRPr="00A00401" w:rsidRDefault="008702B8" w:rsidP="001E0AC1">
            <w:pPr>
              <w:tabs>
                <w:tab w:val="left" w:pos="7655"/>
                <w:tab w:val="right" w:pos="8789"/>
              </w:tabs>
              <w:spacing w:before="120" w:after="120"/>
              <w:rPr>
                <w:rStyle w:val="Strong"/>
              </w:rPr>
            </w:pPr>
            <w:r w:rsidRPr="00A00401">
              <w:rPr>
                <w:rStyle w:val="Strong"/>
              </w:rPr>
              <w:t>Chapter 1 – New and continuing matters</w:t>
            </w:r>
          </w:p>
        </w:tc>
        <w:tc>
          <w:tcPr>
            <w:tcW w:w="850" w:type="dxa"/>
          </w:tcPr>
          <w:p w:rsidR="008702B8" w:rsidRPr="007532FF" w:rsidRDefault="008702B8" w:rsidP="001E0AC1">
            <w:pPr>
              <w:tabs>
                <w:tab w:val="right" w:pos="601"/>
                <w:tab w:val="right" w:pos="8789"/>
              </w:tabs>
              <w:spacing w:before="120" w:after="120"/>
              <w:ind w:left="317" w:right="-1077" w:hanging="317"/>
              <w:rPr>
                <w:sz w:val="22"/>
                <w:szCs w:val="22"/>
              </w:rPr>
            </w:pPr>
            <w:r w:rsidRPr="007532FF">
              <w:rPr>
                <w:sz w:val="22"/>
                <w:szCs w:val="22"/>
              </w:rPr>
              <w:tab/>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Carbon Credits (Carbon Farming Initiative) (Destruction of Methane Generated from Dairy Manure in Covered Anaerobic Ponds) Methodology Determination 2012 </w:t>
            </w:r>
            <w:r w:rsidRPr="0032179C">
              <w:rPr>
                <w:sz w:val="22"/>
                <w:szCs w:val="22"/>
              </w:rPr>
              <w:t>[F2012L02571]</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95</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CASA EX 190/12 – Exemption – from standard take-off and landing minima – Airasia X SDN. BHD [F2013L00033]</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96</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CASA EX191/12 - Exemption - solo flight training using ultralight aeroplanes registered with Recreational Aviation Australia Incorporated at Jandakot Aerodrome </w:t>
            </w:r>
            <w:r w:rsidRPr="0032179C">
              <w:rPr>
                <w:sz w:val="22"/>
                <w:szCs w:val="22"/>
              </w:rPr>
              <w:t>[F2012L02521]</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97</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Coastal Trading (Revitalising Australian Shipping) Act 2012 – Section 11 exemption for cruise vessels </w:t>
            </w:r>
            <w:r w:rsidRPr="0032179C">
              <w:rPr>
                <w:sz w:val="22"/>
                <w:szCs w:val="22"/>
              </w:rPr>
              <w:t>[F2012L02585]</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98</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Commonwealth Places (Mirror Taxes) (Modification of Applied Laws (WA)) Amendment Notice 2012 </w:t>
            </w:r>
            <w:r w:rsidRPr="0032179C">
              <w:rPr>
                <w:sz w:val="22"/>
                <w:szCs w:val="22"/>
              </w:rPr>
              <w:t>[F2012L02505]</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99</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Customs (Malaysian Rules of Origin) Regulation 2012 [Select Legislative Instrument 2012 No. 318] </w:t>
            </w:r>
            <w:r w:rsidRPr="0032179C">
              <w:rPr>
                <w:sz w:val="22"/>
                <w:szCs w:val="22"/>
              </w:rPr>
              <w:t>[F2012L02435]</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100</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pStyle w:val="Heading3"/>
              <w:spacing w:beforeLines="60" w:before="144" w:afterLines="60" w:after="144"/>
              <w:outlineLvl w:val="2"/>
              <w:rPr>
                <w:b w:val="0"/>
                <w:noProof/>
                <w:sz w:val="22"/>
                <w:szCs w:val="22"/>
              </w:rPr>
            </w:pPr>
            <w:r w:rsidRPr="0032179C">
              <w:rPr>
                <w:b w:val="0"/>
                <w:noProof/>
                <w:sz w:val="22"/>
                <w:szCs w:val="22"/>
              </w:rPr>
              <w:t xml:space="preserve">Financial Sector (Collection of Data) (reporting standard) determination No. 11 of 2012 - ARS 117.0 - Repricing Analysis </w:t>
            </w:r>
            <w:r w:rsidRPr="0032179C">
              <w:rPr>
                <w:b w:val="0"/>
                <w:sz w:val="22"/>
                <w:szCs w:val="22"/>
              </w:rPr>
              <w:t>[F2012L02490]</w:t>
            </w:r>
            <w:r w:rsidRPr="0032179C">
              <w:rPr>
                <w:b w:val="0"/>
                <w:noProof/>
                <w:sz w:val="22"/>
                <w:szCs w:val="22"/>
              </w:rPr>
              <w:t>; and</w:t>
            </w:r>
          </w:p>
          <w:p w:rsidR="008702B8" w:rsidRPr="0032179C" w:rsidRDefault="008702B8" w:rsidP="001E0AC1">
            <w:pPr>
              <w:pStyle w:val="Heading3"/>
              <w:spacing w:beforeLines="60" w:before="144" w:afterLines="60" w:after="144"/>
              <w:outlineLvl w:val="2"/>
              <w:rPr>
                <w:b w:val="0"/>
                <w:sz w:val="22"/>
                <w:szCs w:val="22"/>
              </w:rPr>
            </w:pPr>
            <w:r w:rsidRPr="0032179C">
              <w:rPr>
                <w:b w:val="0"/>
                <w:noProof/>
                <w:sz w:val="22"/>
                <w:szCs w:val="22"/>
              </w:rPr>
              <w:t xml:space="preserve">Financial Sector (Collection of Data) (reporting standard) determination No. 12 of 2012 - ARS 120.0 - Standardised Approach – Securitisation </w:t>
            </w:r>
            <w:r w:rsidRPr="0032179C">
              <w:rPr>
                <w:b w:val="0"/>
                <w:sz w:val="22"/>
                <w:szCs w:val="22"/>
              </w:rPr>
              <w:t>[F2012L02489]</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101</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Nuclear Non-Proliferation (Safeguards) Amendment Regulation 2012 (No. 1) [Select Legislative Instrument 2012 No. 292] </w:t>
            </w:r>
            <w:r w:rsidRPr="0032179C">
              <w:rPr>
                <w:sz w:val="22"/>
                <w:szCs w:val="22"/>
              </w:rPr>
              <w:t>[F2012L02423]</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102</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pStyle w:val="Heading3"/>
              <w:outlineLvl w:val="2"/>
              <w:rPr>
                <w:b w:val="0"/>
                <w:sz w:val="22"/>
                <w:szCs w:val="22"/>
              </w:rPr>
            </w:pPr>
            <w:r w:rsidRPr="0032179C">
              <w:rPr>
                <w:b w:val="0"/>
                <w:noProof/>
                <w:sz w:val="22"/>
                <w:szCs w:val="22"/>
              </w:rPr>
              <w:t xml:space="preserve">Work Health and Safety Act 2011 (application to Defence activities and Defence members) Declaration 2012 </w:t>
            </w:r>
            <w:r w:rsidRPr="0032179C">
              <w:rPr>
                <w:b w:val="0"/>
                <w:sz w:val="22"/>
                <w:szCs w:val="22"/>
              </w:rPr>
              <w:t>[F2012L02503]</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102</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pStyle w:val="Heading3"/>
              <w:spacing w:before="60" w:after="60"/>
              <w:outlineLvl w:val="2"/>
              <w:rPr>
                <w:b w:val="0"/>
                <w:noProof/>
                <w:sz w:val="22"/>
                <w:szCs w:val="22"/>
              </w:rPr>
            </w:pPr>
            <w:r w:rsidRPr="0032179C">
              <w:rPr>
                <w:b w:val="0"/>
                <w:noProof/>
                <w:sz w:val="22"/>
                <w:szCs w:val="22"/>
              </w:rPr>
              <w:t xml:space="preserve">CASA EX193/12 - Exemption - operations by paragliders in the Corryong Open and hang-gliders in the Corryong Cup </w:t>
            </w:r>
            <w:r w:rsidRPr="0032179C">
              <w:rPr>
                <w:b w:val="0"/>
                <w:sz w:val="22"/>
                <w:szCs w:val="22"/>
              </w:rPr>
              <w:t>[F2012L02520]</w:t>
            </w:r>
            <w:r w:rsidRPr="0032179C">
              <w:rPr>
                <w:b w:val="0"/>
                <w:noProof/>
                <w:sz w:val="22"/>
                <w:szCs w:val="22"/>
              </w:rPr>
              <w:t>; and</w:t>
            </w:r>
          </w:p>
          <w:p w:rsidR="008702B8" w:rsidRPr="00ED693D" w:rsidRDefault="008702B8" w:rsidP="001E0AC1">
            <w:pPr>
              <w:pStyle w:val="Heading3"/>
              <w:spacing w:before="60" w:after="60"/>
              <w:outlineLvl w:val="2"/>
              <w:rPr>
                <w:sz w:val="22"/>
                <w:szCs w:val="22"/>
              </w:rPr>
            </w:pPr>
            <w:r w:rsidRPr="0032179C">
              <w:rPr>
                <w:b w:val="0"/>
                <w:noProof/>
                <w:sz w:val="22"/>
                <w:szCs w:val="22"/>
              </w:rPr>
              <w:t xml:space="preserve">CASA EX194/12 - Exemption - operations by hang-gliders in the Forbes Flatlands Hang Gliding Championships 2012-2013 </w:t>
            </w:r>
            <w:r w:rsidRPr="0032179C">
              <w:rPr>
                <w:b w:val="0"/>
                <w:sz w:val="22"/>
                <w:szCs w:val="22"/>
              </w:rPr>
              <w:t>[F2012L02527]</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103</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Civil Aviation Order 20.18 Amendment Instrument 2012 (No. 2) </w:t>
            </w:r>
            <w:r w:rsidRPr="0032179C">
              <w:rPr>
                <w:sz w:val="22"/>
                <w:szCs w:val="22"/>
              </w:rPr>
              <w:t>[F2012L02556]</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104</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tabs>
                <w:tab w:val="right" w:pos="1167"/>
                <w:tab w:val="right" w:pos="8789"/>
              </w:tabs>
              <w:spacing w:before="60" w:after="60"/>
              <w:ind w:right="459"/>
              <w:rPr>
                <w:sz w:val="22"/>
                <w:szCs w:val="22"/>
              </w:rPr>
            </w:pPr>
            <w:r w:rsidRPr="0032179C">
              <w:rPr>
                <w:noProof/>
                <w:sz w:val="22"/>
                <w:szCs w:val="22"/>
              </w:rPr>
              <w:t xml:space="preserve">Fair Entitlements Guarantee Regulation 2012 [Select Legislative Instrument 2012 No. 326] </w:t>
            </w:r>
            <w:r w:rsidRPr="0032179C">
              <w:rPr>
                <w:sz w:val="22"/>
                <w:szCs w:val="22"/>
              </w:rPr>
              <w:t>[F2012L02474]</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105</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ED693D" w:rsidRDefault="008702B8" w:rsidP="001E0AC1">
            <w:pPr>
              <w:tabs>
                <w:tab w:val="right" w:pos="1167"/>
                <w:tab w:val="right" w:pos="8789"/>
              </w:tabs>
              <w:spacing w:before="60" w:after="60"/>
              <w:ind w:right="459"/>
              <w:rPr>
                <w:sz w:val="22"/>
                <w:szCs w:val="22"/>
              </w:rPr>
            </w:pPr>
            <w:r w:rsidRPr="00310C67">
              <w:rPr>
                <w:noProof/>
              </w:rPr>
              <w:t xml:space="preserve">Family Law Amendment Rules 2012 (No. 2) [Select Legislative Instrument 2012 No. 331] </w:t>
            </w:r>
            <w:r w:rsidRPr="000E6FB5">
              <w:t>[F2012L02577]</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105</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ED693D" w:rsidRDefault="008702B8" w:rsidP="001E0AC1">
            <w:pPr>
              <w:tabs>
                <w:tab w:val="right" w:pos="1167"/>
                <w:tab w:val="right" w:pos="8789"/>
              </w:tabs>
              <w:spacing w:before="60" w:after="60"/>
              <w:ind w:right="459"/>
              <w:rPr>
                <w:sz w:val="22"/>
                <w:szCs w:val="22"/>
              </w:rPr>
            </w:pPr>
            <w:r w:rsidRPr="00310C67">
              <w:rPr>
                <w:noProof/>
              </w:rPr>
              <w:t>Health Insurance (Diagnostic Imaging Capital Sensitivity) Amendment Determination 2012 (No. 3)</w:t>
            </w:r>
            <w:r>
              <w:rPr>
                <w:noProof/>
              </w:rPr>
              <w:t xml:space="preserve"> </w:t>
            </w:r>
            <w:r w:rsidRPr="000E6FB5">
              <w:t>[F2012L02510]</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106</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ED693D" w:rsidRDefault="008702B8" w:rsidP="001E0AC1">
            <w:pPr>
              <w:tabs>
                <w:tab w:val="right" w:pos="1167"/>
                <w:tab w:val="right" w:pos="8789"/>
              </w:tabs>
              <w:spacing w:before="60" w:after="60"/>
              <w:ind w:right="459"/>
              <w:rPr>
                <w:sz w:val="22"/>
                <w:szCs w:val="22"/>
              </w:rPr>
            </w:pPr>
            <w:r w:rsidRPr="00310C67">
              <w:rPr>
                <w:noProof/>
              </w:rPr>
              <w:t>Native Title (Assistance from Attorney-General) Guideline 2012</w:t>
            </w:r>
            <w:r>
              <w:rPr>
                <w:noProof/>
              </w:rPr>
              <w:t xml:space="preserve"> </w:t>
            </w:r>
            <w:r w:rsidRPr="000E6FB5">
              <w:t>[F2012L02564]</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106</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32179C" w:rsidRDefault="008702B8" w:rsidP="001E0AC1">
            <w:pPr>
              <w:pStyle w:val="Heading3"/>
              <w:spacing w:after="60"/>
              <w:outlineLvl w:val="2"/>
              <w:rPr>
                <w:b w:val="0"/>
                <w:noProof/>
                <w:sz w:val="22"/>
                <w:szCs w:val="22"/>
              </w:rPr>
            </w:pPr>
            <w:r w:rsidRPr="0032179C">
              <w:rPr>
                <w:b w:val="0"/>
                <w:noProof/>
                <w:sz w:val="22"/>
                <w:szCs w:val="22"/>
              </w:rPr>
              <w:t xml:space="preserve">CASA ADCX 001/13 - Revocation of Airworthiness Directives </w:t>
            </w:r>
            <w:r w:rsidRPr="0032179C">
              <w:rPr>
                <w:b w:val="0"/>
                <w:sz w:val="22"/>
                <w:szCs w:val="22"/>
              </w:rPr>
              <w:t>[F2013L00063]</w:t>
            </w:r>
            <w:r w:rsidRPr="0032179C">
              <w:rPr>
                <w:b w:val="0"/>
                <w:noProof/>
                <w:sz w:val="22"/>
                <w:szCs w:val="22"/>
              </w:rPr>
              <w:t>;</w:t>
            </w:r>
          </w:p>
          <w:p w:rsidR="008702B8" w:rsidRPr="0032179C" w:rsidRDefault="008702B8" w:rsidP="001E0AC1">
            <w:pPr>
              <w:pStyle w:val="Heading3"/>
              <w:spacing w:after="60"/>
              <w:outlineLvl w:val="2"/>
              <w:rPr>
                <w:b w:val="0"/>
                <w:noProof/>
                <w:sz w:val="22"/>
                <w:szCs w:val="22"/>
              </w:rPr>
            </w:pPr>
            <w:r w:rsidRPr="0032179C">
              <w:rPr>
                <w:b w:val="0"/>
                <w:noProof/>
                <w:sz w:val="22"/>
                <w:szCs w:val="22"/>
              </w:rPr>
              <w:lastRenderedPageBreak/>
              <w:t xml:space="preserve">CASA EX03/13 - Exemption — recency requirements for night flying for F100 aircraft (Network Aviation Pty Ltd) </w:t>
            </w:r>
            <w:r w:rsidRPr="0032179C">
              <w:rPr>
                <w:b w:val="0"/>
                <w:sz w:val="22"/>
                <w:szCs w:val="22"/>
              </w:rPr>
              <w:t>[F2013L00068]</w:t>
            </w:r>
            <w:r w:rsidRPr="0032179C">
              <w:rPr>
                <w:b w:val="0"/>
                <w:noProof/>
                <w:sz w:val="22"/>
                <w:szCs w:val="22"/>
              </w:rPr>
              <w:t>;</w:t>
            </w:r>
          </w:p>
          <w:p w:rsidR="008702B8" w:rsidRPr="0032179C" w:rsidRDefault="008702B8" w:rsidP="001E0AC1">
            <w:pPr>
              <w:pStyle w:val="Heading3"/>
              <w:spacing w:after="60"/>
              <w:outlineLvl w:val="2"/>
              <w:rPr>
                <w:b w:val="0"/>
                <w:noProof/>
                <w:sz w:val="22"/>
                <w:szCs w:val="22"/>
              </w:rPr>
            </w:pPr>
            <w:r w:rsidRPr="0032179C">
              <w:rPr>
                <w:b w:val="0"/>
                <w:noProof/>
                <w:sz w:val="22"/>
                <w:szCs w:val="22"/>
              </w:rPr>
              <w:t xml:space="preserve">CASA EX04/13 - Exemption — recency requirements for night flying for Embraer 120 aircraft (Network Aviation Pty Ltd) </w:t>
            </w:r>
            <w:r w:rsidRPr="0032179C">
              <w:rPr>
                <w:b w:val="0"/>
                <w:sz w:val="22"/>
                <w:szCs w:val="22"/>
              </w:rPr>
              <w:t>[F2013L00069]</w:t>
            </w:r>
            <w:r w:rsidRPr="0032179C">
              <w:rPr>
                <w:b w:val="0"/>
                <w:noProof/>
                <w:sz w:val="22"/>
                <w:szCs w:val="22"/>
              </w:rPr>
              <w:t>; and</w:t>
            </w:r>
          </w:p>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Civil Aviation Order 20.18 Amendment Instrument 2013 (No. 1)</w:t>
            </w:r>
            <w:r w:rsidRPr="000478A0">
              <w:rPr>
                <w:sz w:val="22"/>
                <w:szCs w:val="22"/>
              </w:rPr>
              <w:t xml:space="preserve"> [F2013L00070]</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lastRenderedPageBreak/>
              <w:tab/>
            </w:r>
            <w:r>
              <w:rPr>
                <w:sz w:val="22"/>
                <w:szCs w:val="22"/>
              </w:rPr>
              <w:t>107</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Defence Determination 2012/68, Reserve employer support payments</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108</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 xml:space="preserve">Water Efficiency Labelling and Standards Determination 2013 </w:t>
            </w:r>
            <w:r w:rsidRPr="000478A0">
              <w:rPr>
                <w:sz w:val="22"/>
                <w:szCs w:val="22"/>
              </w:rPr>
              <w:t>[F2013L00067]</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109</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Default="008702B8" w:rsidP="001E0AC1">
            <w:pPr>
              <w:tabs>
                <w:tab w:val="right" w:pos="1167"/>
                <w:tab w:val="right" w:pos="8789"/>
              </w:tabs>
              <w:spacing w:before="60" w:after="60"/>
              <w:ind w:right="459"/>
              <w:rPr>
                <w:sz w:val="22"/>
                <w:szCs w:val="22"/>
              </w:rPr>
            </w:pPr>
            <w:r>
              <w:rPr>
                <w:noProof/>
                <w:sz w:val="22"/>
                <w:szCs w:val="22"/>
              </w:rPr>
              <w:t xml:space="preserve">Carbon Credits (Carbon Farming Initiative) </w:t>
            </w:r>
            <w:r w:rsidRPr="00762C36">
              <w:rPr>
                <w:noProof/>
                <w:sz w:val="22"/>
                <w:szCs w:val="22"/>
              </w:rPr>
              <w:t xml:space="preserve">(Destruction of Methane Generated from Dairy Manure in Covered Anaerobic Ponds) Methodology Determination 2012 </w:t>
            </w:r>
            <w:r w:rsidRPr="00762C36">
              <w:rPr>
                <w:sz w:val="22"/>
                <w:szCs w:val="22"/>
              </w:rPr>
              <w:t>[F2012L02571]; and</w:t>
            </w:r>
          </w:p>
          <w:p w:rsidR="008702B8" w:rsidRPr="000478A0" w:rsidRDefault="008702B8" w:rsidP="001E0AC1">
            <w:pPr>
              <w:tabs>
                <w:tab w:val="right" w:pos="1167"/>
                <w:tab w:val="right" w:pos="8789"/>
              </w:tabs>
              <w:spacing w:before="60" w:after="60"/>
              <w:ind w:right="459"/>
              <w:rPr>
                <w:sz w:val="22"/>
                <w:szCs w:val="22"/>
              </w:rPr>
            </w:pPr>
            <w:r>
              <w:rPr>
                <w:noProof/>
                <w:sz w:val="22"/>
                <w:szCs w:val="22"/>
              </w:rPr>
              <w:t>(</w:t>
            </w:r>
            <w:r w:rsidRPr="000478A0">
              <w:rPr>
                <w:noProof/>
                <w:sz w:val="22"/>
                <w:szCs w:val="22"/>
              </w:rPr>
              <w:t xml:space="preserve">Carbon Credits (Carbon Farming Initiative) (Destruction of Methane from Piggeries using Engineered Biodigesters) Methodology Determination 2013 </w:t>
            </w:r>
            <w:r w:rsidRPr="000478A0">
              <w:rPr>
                <w:sz w:val="22"/>
                <w:szCs w:val="22"/>
              </w:rPr>
              <w:t>[F2013L00124]</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109</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 xml:space="preserve">CASA EX180/12 - Exemption - maintenance on limited category and experimental aircraft </w:t>
            </w:r>
            <w:r w:rsidRPr="000478A0">
              <w:rPr>
                <w:sz w:val="22"/>
                <w:szCs w:val="22"/>
              </w:rPr>
              <w:t>[F2013L00096</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1109</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pStyle w:val="Heading3"/>
              <w:outlineLvl w:val="2"/>
              <w:rPr>
                <w:b w:val="0"/>
                <w:noProof/>
                <w:sz w:val="22"/>
                <w:szCs w:val="22"/>
              </w:rPr>
            </w:pPr>
            <w:r w:rsidRPr="000478A0">
              <w:rPr>
                <w:b w:val="0"/>
                <w:noProof/>
                <w:sz w:val="22"/>
                <w:szCs w:val="22"/>
              </w:rPr>
              <w:t xml:space="preserve">CASA EX01/13 - Exemption - recency requirements for night flying (Alliance Airlines Pty Limited) </w:t>
            </w:r>
            <w:r w:rsidRPr="000478A0">
              <w:rPr>
                <w:b w:val="0"/>
                <w:sz w:val="22"/>
                <w:szCs w:val="22"/>
              </w:rPr>
              <w:t>[F2013L00114]</w:t>
            </w:r>
            <w:r w:rsidRPr="000478A0">
              <w:rPr>
                <w:b w:val="0"/>
                <w:noProof/>
                <w:sz w:val="22"/>
                <w:szCs w:val="22"/>
              </w:rPr>
              <w:t>; and</w:t>
            </w:r>
          </w:p>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 xml:space="preserve">CASA EX08/13 - Exemption - from standard take-off and landing minima - DHL Air Limited </w:t>
            </w:r>
            <w:r w:rsidRPr="000478A0">
              <w:rPr>
                <w:sz w:val="22"/>
                <w:szCs w:val="22"/>
              </w:rPr>
              <w:t>[F2013L00145</w:t>
            </w:r>
            <w:r>
              <w:rPr>
                <w:sz w:val="22"/>
                <w:szCs w:val="22"/>
              </w:rPr>
              <w:t>]</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111</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Customs Act 1901 - Amendment of Approved Statement Instrument No. 6 of 2013 - Amendment of "Self-Assessed Clearance Declaration (Sea) (To Be Communicated With a Cargo Report)" [F2013L00142]</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112</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 xml:space="preserve">Amendment of List of Exempt Native Specimens - Pandanus spiralis (18/12/2012) </w:t>
            </w:r>
            <w:r w:rsidRPr="000478A0">
              <w:rPr>
                <w:sz w:val="22"/>
                <w:szCs w:val="22"/>
              </w:rPr>
              <w:t>[F2013L00107]</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113</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 xml:space="preserve">Amendment - List of Specimens Taken to be suitable for Live Import (03/01/2013) </w:t>
            </w:r>
            <w:r w:rsidRPr="000478A0">
              <w:rPr>
                <w:sz w:val="22"/>
                <w:szCs w:val="22"/>
              </w:rPr>
              <w:t>[F2013L00105]</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113</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Levy Amount Formula Modification Determination 2013 [F2013L00158]</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114</w:t>
            </w:r>
          </w:p>
        </w:tc>
      </w:tr>
      <w:tr w:rsidR="008702B8" w:rsidRPr="007532FF" w:rsidTr="001E0AC1">
        <w:tc>
          <w:tcPr>
            <w:tcW w:w="250" w:type="dxa"/>
          </w:tcPr>
          <w:p w:rsidR="008702B8" w:rsidRPr="007532FF" w:rsidRDefault="008702B8" w:rsidP="001E0AC1">
            <w:pPr>
              <w:tabs>
                <w:tab w:val="left" w:pos="7655"/>
                <w:tab w:val="right" w:pos="8789"/>
              </w:tabs>
              <w:spacing w:before="60" w:after="60"/>
              <w:rPr>
                <w:rStyle w:val="Strong"/>
                <w:b w:val="0"/>
                <w:sz w:val="22"/>
                <w:szCs w:val="22"/>
              </w:rPr>
            </w:pPr>
          </w:p>
        </w:tc>
        <w:tc>
          <w:tcPr>
            <w:tcW w:w="8080" w:type="dxa"/>
          </w:tcPr>
          <w:p w:rsidR="008702B8" w:rsidRPr="000478A0" w:rsidRDefault="008702B8" w:rsidP="001E0AC1">
            <w:pPr>
              <w:tabs>
                <w:tab w:val="right" w:pos="1167"/>
                <w:tab w:val="right" w:pos="8789"/>
              </w:tabs>
              <w:spacing w:before="60" w:after="60"/>
              <w:ind w:right="459"/>
              <w:rPr>
                <w:sz w:val="22"/>
                <w:szCs w:val="22"/>
              </w:rPr>
            </w:pPr>
            <w:r w:rsidRPr="000478A0">
              <w:rPr>
                <w:noProof/>
                <w:sz w:val="22"/>
                <w:szCs w:val="22"/>
              </w:rPr>
              <w:t xml:space="preserve">Therapeutic Goods Information (Stakeholder Consultation on the System for Australian Recall Actions) Specification 2013 </w:t>
            </w:r>
            <w:r w:rsidRPr="000478A0">
              <w:rPr>
                <w:sz w:val="22"/>
                <w:szCs w:val="22"/>
              </w:rPr>
              <w:t>[F2013L00117]</w:t>
            </w:r>
          </w:p>
        </w:tc>
        <w:tc>
          <w:tcPr>
            <w:tcW w:w="850" w:type="dxa"/>
          </w:tcPr>
          <w:p w:rsidR="008702B8" w:rsidRPr="007532FF" w:rsidRDefault="008702B8" w:rsidP="001E0AC1">
            <w:pPr>
              <w:tabs>
                <w:tab w:val="right" w:pos="644"/>
                <w:tab w:val="right" w:pos="8789"/>
              </w:tabs>
              <w:spacing w:before="60" w:after="60"/>
              <w:ind w:left="317" w:right="-1076" w:hanging="317"/>
              <w:rPr>
                <w:sz w:val="22"/>
                <w:szCs w:val="22"/>
              </w:rPr>
            </w:pPr>
            <w:r w:rsidRPr="007532FF">
              <w:rPr>
                <w:sz w:val="22"/>
                <w:szCs w:val="22"/>
              </w:rPr>
              <w:tab/>
            </w:r>
            <w:r>
              <w:rPr>
                <w:sz w:val="22"/>
                <w:szCs w:val="22"/>
              </w:rPr>
              <w:t>115</w:t>
            </w:r>
          </w:p>
        </w:tc>
      </w:tr>
      <w:tr w:rsidR="008702B8" w:rsidRPr="007532FF" w:rsidTr="001E0AC1">
        <w:tc>
          <w:tcPr>
            <w:tcW w:w="8330" w:type="dxa"/>
            <w:gridSpan w:val="2"/>
          </w:tcPr>
          <w:p w:rsidR="008702B8" w:rsidRPr="00A00401" w:rsidRDefault="008702B8" w:rsidP="001E0AC1">
            <w:pPr>
              <w:tabs>
                <w:tab w:val="left" w:pos="7655"/>
                <w:tab w:val="right" w:pos="8789"/>
              </w:tabs>
              <w:spacing w:before="120" w:after="120"/>
              <w:rPr>
                <w:rStyle w:val="Strong"/>
              </w:rPr>
            </w:pPr>
            <w:r>
              <w:rPr>
                <w:rStyle w:val="Strong"/>
              </w:rPr>
              <w:t>Chapter</w:t>
            </w:r>
            <w:r w:rsidRPr="00A00401">
              <w:rPr>
                <w:rStyle w:val="Strong"/>
              </w:rPr>
              <w:t xml:space="preserve"> </w:t>
            </w:r>
            <w:r>
              <w:rPr>
                <w:rStyle w:val="Strong"/>
              </w:rPr>
              <w:t>2</w:t>
            </w:r>
            <w:r w:rsidRPr="00A00401">
              <w:rPr>
                <w:rStyle w:val="Strong"/>
              </w:rPr>
              <w:t xml:space="preserve"> –</w:t>
            </w:r>
            <w:r>
              <w:rPr>
                <w:rStyle w:val="Strong"/>
              </w:rPr>
              <w:t xml:space="preserve"> Concluded matters (nil this meeting)</w:t>
            </w:r>
          </w:p>
        </w:tc>
        <w:tc>
          <w:tcPr>
            <w:tcW w:w="850" w:type="dxa"/>
          </w:tcPr>
          <w:p w:rsidR="008702B8" w:rsidRPr="007532FF" w:rsidRDefault="008702B8" w:rsidP="001E0AC1">
            <w:pPr>
              <w:tabs>
                <w:tab w:val="right" w:pos="601"/>
                <w:tab w:val="right" w:pos="8789"/>
              </w:tabs>
              <w:spacing w:before="120" w:after="120"/>
              <w:ind w:left="317" w:right="-1077" w:hanging="317"/>
              <w:rPr>
                <w:sz w:val="22"/>
                <w:szCs w:val="22"/>
              </w:rPr>
            </w:pPr>
            <w:r w:rsidRPr="007532FF">
              <w:rPr>
                <w:sz w:val="22"/>
                <w:szCs w:val="22"/>
              </w:rPr>
              <w:tab/>
            </w:r>
            <w:r>
              <w:rPr>
                <w:sz w:val="22"/>
                <w:szCs w:val="22"/>
              </w:rPr>
              <w:t>117</w:t>
            </w:r>
          </w:p>
        </w:tc>
      </w:tr>
      <w:tr w:rsidR="008702B8" w:rsidRPr="007532FF" w:rsidTr="001E0AC1">
        <w:tc>
          <w:tcPr>
            <w:tcW w:w="8330" w:type="dxa"/>
            <w:gridSpan w:val="2"/>
          </w:tcPr>
          <w:p w:rsidR="008702B8" w:rsidRPr="00A00401" w:rsidRDefault="008702B8" w:rsidP="001E0AC1">
            <w:pPr>
              <w:tabs>
                <w:tab w:val="left" w:pos="7655"/>
                <w:tab w:val="right" w:pos="8789"/>
              </w:tabs>
              <w:spacing w:before="120" w:after="120"/>
              <w:rPr>
                <w:rStyle w:val="Strong"/>
              </w:rPr>
            </w:pPr>
            <w:r w:rsidRPr="00A00401">
              <w:rPr>
                <w:rStyle w:val="Strong"/>
              </w:rPr>
              <w:t>Appendix 1 – Index of instruments scrutinised by the committee</w:t>
            </w:r>
          </w:p>
        </w:tc>
        <w:tc>
          <w:tcPr>
            <w:tcW w:w="850" w:type="dxa"/>
          </w:tcPr>
          <w:p w:rsidR="008702B8" w:rsidRPr="007532FF" w:rsidRDefault="008702B8" w:rsidP="001E0AC1">
            <w:pPr>
              <w:tabs>
                <w:tab w:val="right" w:pos="601"/>
                <w:tab w:val="right" w:pos="8789"/>
              </w:tabs>
              <w:spacing w:before="120" w:after="120"/>
              <w:ind w:left="317" w:right="-1077" w:hanging="317"/>
              <w:rPr>
                <w:sz w:val="22"/>
                <w:szCs w:val="22"/>
              </w:rPr>
            </w:pPr>
            <w:r w:rsidRPr="007532FF">
              <w:rPr>
                <w:sz w:val="22"/>
                <w:szCs w:val="22"/>
              </w:rPr>
              <w:tab/>
            </w:r>
            <w:r>
              <w:rPr>
                <w:sz w:val="22"/>
                <w:szCs w:val="22"/>
              </w:rPr>
              <w:t>119</w:t>
            </w:r>
          </w:p>
        </w:tc>
      </w:tr>
      <w:tr w:rsidR="008702B8" w:rsidRPr="007532FF" w:rsidTr="001E0AC1">
        <w:tc>
          <w:tcPr>
            <w:tcW w:w="8330" w:type="dxa"/>
            <w:gridSpan w:val="2"/>
          </w:tcPr>
          <w:p w:rsidR="008702B8" w:rsidRPr="00A00401" w:rsidRDefault="008702B8" w:rsidP="001E0AC1">
            <w:pPr>
              <w:tabs>
                <w:tab w:val="left" w:pos="7655"/>
                <w:tab w:val="right" w:pos="8789"/>
              </w:tabs>
              <w:spacing w:before="120" w:after="120"/>
              <w:rPr>
                <w:rStyle w:val="Strong"/>
              </w:rPr>
            </w:pPr>
            <w:r w:rsidRPr="00A00401">
              <w:rPr>
                <w:rStyle w:val="Strong"/>
              </w:rPr>
              <w:t>Appendix 2 – Guideline on explanatory statements: consultation</w:t>
            </w:r>
          </w:p>
        </w:tc>
        <w:tc>
          <w:tcPr>
            <w:tcW w:w="850" w:type="dxa"/>
          </w:tcPr>
          <w:p w:rsidR="008702B8" w:rsidRPr="007532FF" w:rsidRDefault="008702B8" w:rsidP="001E0AC1">
            <w:pPr>
              <w:tabs>
                <w:tab w:val="right" w:pos="601"/>
                <w:tab w:val="right" w:pos="8789"/>
              </w:tabs>
              <w:spacing w:before="120" w:after="120"/>
              <w:ind w:left="317" w:right="-1077" w:hanging="317"/>
              <w:rPr>
                <w:sz w:val="22"/>
                <w:szCs w:val="22"/>
              </w:rPr>
            </w:pPr>
            <w:r w:rsidRPr="007532FF">
              <w:rPr>
                <w:sz w:val="22"/>
                <w:szCs w:val="22"/>
              </w:rPr>
              <w:tab/>
            </w:r>
            <w:r>
              <w:rPr>
                <w:sz w:val="22"/>
                <w:szCs w:val="22"/>
              </w:rPr>
              <w:t>133</w:t>
            </w:r>
          </w:p>
        </w:tc>
      </w:tr>
      <w:tr w:rsidR="008702B8" w:rsidRPr="007532FF" w:rsidTr="001E0AC1">
        <w:tc>
          <w:tcPr>
            <w:tcW w:w="8330" w:type="dxa"/>
            <w:gridSpan w:val="2"/>
          </w:tcPr>
          <w:p w:rsidR="008702B8" w:rsidRPr="007532FF" w:rsidRDefault="008702B8" w:rsidP="001E0AC1">
            <w:pPr>
              <w:tabs>
                <w:tab w:val="left" w:pos="7655"/>
                <w:tab w:val="right" w:pos="8789"/>
              </w:tabs>
              <w:spacing w:before="120" w:after="120"/>
              <w:rPr>
                <w:rStyle w:val="Strong"/>
                <w:sz w:val="22"/>
                <w:szCs w:val="22"/>
              </w:rPr>
            </w:pPr>
          </w:p>
        </w:tc>
        <w:tc>
          <w:tcPr>
            <w:tcW w:w="850" w:type="dxa"/>
          </w:tcPr>
          <w:p w:rsidR="008702B8" w:rsidRPr="007532FF" w:rsidRDefault="008702B8" w:rsidP="001E0AC1">
            <w:pPr>
              <w:tabs>
                <w:tab w:val="right" w:pos="601"/>
                <w:tab w:val="right" w:pos="8789"/>
              </w:tabs>
              <w:spacing w:before="120" w:after="120"/>
              <w:ind w:left="317" w:right="-1077" w:hanging="317"/>
              <w:rPr>
                <w:sz w:val="22"/>
                <w:szCs w:val="22"/>
              </w:rPr>
            </w:pPr>
          </w:p>
        </w:tc>
      </w:tr>
    </w:tbl>
    <w:p w:rsidR="008702B8" w:rsidRPr="007532FF" w:rsidRDefault="008702B8" w:rsidP="008702B8">
      <w:pPr>
        <w:rPr>
          <w:sz w:val="22"/>
          <w:szCs w:val="22"/>
        </w:rPr>
      </w:pPr>
    </w:p>
    <w:p w:rsidR="008702B8" w:rsidRPr="004B17F0" w:rsidRDefault="008702B8" w:rsidP="008702B8">
      <w:pPr>
        <w:pStyle w:val="Heading1"/>
      </w:pPr>
      <w:r>
        <w:br w:type="page"/>
      </w:r>
      <w:r w:rsidRPr="004B17F0">
        <w:lastRenderedPageBreak/>
        <w:t>Delegated legislation monitor</w:t>
      </w:r>
    </w:p>
    <w:p w:rsidR="008702B8" w:rsidRDefault="008702B8" w:rsidP="008702B8">
      <w:pPr>
        <w:pStyle w:val="Heading2"/>
      </w:pPr>
      <w:r w:rsidRPr="00BF47FD">
        <w:t>Introduction</w:t>
      </w:r>
    </w:p>
    <w:p w:rsidR="008702B8" w:rsidRDefault="008702B8" w:rsidP="008702B8">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8702B8" w:rsidRDefault="008702B8" w:rsidP="008702B8">
      <w:pPr>
        <w:pStyle w:val="Heading3"/>
      </w:pPr>
      <w:r>
        <w:t>The committee's terms of reference</w:t>
      </w:r>
    </w:p>
    <w:p w:rsidR="008702B8" w:rsidRPr="00D233E5" w:rsidRDefault="008702B8" w:rsidP="008702B8">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8702B8" w:rsidRPr="00BF47FD" w:rsidRDefault="008702B8" w:rsidP="008702B8">
      <w:pPr>
        <w:pStyle w:val="Quote"/>
        <w:spacing w:after="120"/>
        <w:ind w:left="1276" w:hanging="425"/>
      </w:pPr>
      <w:r>
        <w:t xml:space="preserve">(1) </w:t>
      </w:r>
      <w:r w:rsidRPr="00BF47FD">
        <w:t>A Standing Committee on Regulations and Ordinances shall be appointed at the commencement of each Parliament.</w:t>
      </w:r>
    </w:p>
    <w:p w:rsidR="008702B8" w:rsidRPr="00BF47FD" w:rsidRDefault="008702B8" w:rsidP="008702B8">
      <w:pPr>
        <w:pStyle w:val="Quote"/>
        <w:spacing w:after="120"/>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8702B8" w:rsidRPr="00BF47FD" w:rsidRDefault="008702B8" w:rsidP="008702B8">
      <w:pPr>
        <w:pStyle w:val="Quote"/>
        <w:spacing w:after="120"/>
        <w:ind w:left="1276"/>
      </w:pPr>
      <w:r w:rsidRPr="00BF47FD">
        <w:t>The committee shall scrutinise each instrument to ensure:</w:t>
      </w:r>
    </w:p>
    <w:p w:rsidR="008702B8" w:rsidRPr="00BF47FD" w:rsidRDefault="008702B8" w:rsidP="008702B8">
      <w:pPr>
        <w:pStyle w:val="Quote"/>
        <w:tabs>
          <w:tab w:val="left" w:pos="1701"/>
        </w:tabs>
        <w:spacing w:after="120"/>
        <w:ind w:left="1701" w:hanging="425"/>
      </w:pPr>
      <w:r>
        <w:t>(a)</w:t>
      </w:r>
      <w:r>
        <w:tab/>
      </w:r>
      <w:proofErr w:type="gramStart"/>
      <w:r w:rsidRPr="00BF47FD">
        <w:t>that</w:t>
      </w:r>
      <w:proofErr w:type="gramEnd"/>
      <w:r w:rsidRPr="00BF47FD">
        <w:t xml:space="preserve"> it is in accordance with the statute;</w:t>
      </w:r>
    </w:p>
    <w:p w:rsidR="008702B8" w:rsidRPr="00BF47FD" w:rsidRDefault="008702B8" w:rsidP="008702B8">
      <w:pPr>
        <w:pStyle w:val="Quote"/>
        <w:tabs>
          <w:tab w:val="left" w:pos="1701"/>
        </w:tabs>
        <w:spacing w:after="120"/>
        <w:ind w:left="1701" w:hanging="425"/>
      </w:pPr>
      <w:r>
        <w:t>(b)</w:t>
      </w:r>
      <w:r>
        <w:tab/>
      </w:r>
      <w:proofErr w:type="gramStart"/>
      <w:r w:rsidRPr="00BF47FD">
        <w:t>that</w:t>
      </w:r>
      <w:proofErr w:type="gramEnd"/>
      <w:r w:rsidRPr="00BF47FD">
        <w:t xml:space="preserve"> it does not trespass unduly on personal rights and liberties;</w:t>
      </w:r>
    </w:p>
    <w:p w:rsidR="008702B8" w:rsidRPr="00BF47FD" w:rsidRDefault="008702B8" w:rsidP="008702B8">
      <w:pPr>
        <w:pStyle w:val="Quote"/>
        <w:tabs>
          <w:tab w:val="left" w:pos="1701"/>
        </w:tabs>
        <w:spacing w:after="120"/>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8702B8" w:rsidRDefault="008702B8" w:rsidP="008702B8">
      <w:pPr>
        <w:pStyle w:val="Quote"/>
        <w:tabs>
          <w:tab w:val="left" w:pos="1701"/>
        </w:tabs>
        <w:spacing w:after="120"/>
        <w:ind w:left="1701" w:hanging="425"/>
      </w:pPr>
      <w:r>
        <w:t>(d)</w:t>
      </w:r>
      <w:r>
        <w:tab/>
      </w:r>
      <w:proofErr w:type="gramStart"/>
      <w:r w:rsidRPr="00BF47FD">
        <w:t>that</w:t>
      </w:r>
      <w:proofErr w:type="gramEnd"/>
      <w:r w:rsidRPr="00BF47FD">
        <w:t xml:space="preserve"> it does not contain matter more appropriate for parliamentary enactment.</w:t>
      </w:r>
    </w:p>
    <w:p w:rsidR="008702B8" w:rsidRDefault="008702B8" w:rsidP="008702B8">
      <w:pPr>
        <w:pStyle w:val="Heading3"/>
      </w:pPr>
      <w:r w:rsidRPr="00F063AA">
        <w:t>Work of the committee</w:t>
      </w:r>
    </w:p>
    <w:p w:rsidR="008702B8" w:rsidRPr="00F063AA" w:rsidRDefault="008702B8" w:rsidP="008702B8">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8702B8" w:rsidRDefault="008702B8" w:rsidP="008702B8">
      <w:pPr>
        <w:pStyle w:val="Level1"/>
        <w:numPr>
          <w:ilvl w:val="0"/>
          <w:numId w:val="0"/>
        </w:numPr>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w:t>
      </w:r>
      <w:r w:rsidRPr="00F063AA">
        <w:lastRenderedPageBreak/>
        <w:t xml:space="preserve">minister </w:t>
      </w:r>
      <w:r>
        <w:t xml:space="preserve">or instrument-maker </w:t>
      </w:r>
      <w:r w:rsidRPr="00F063AA">
        <w:t>seeking further explanation or clarification of the matter at issue, or seeking an undertaking for specific action to address the committee's concern.</w:t>
      </w:r>
    </w:p>
    <w:p w:rsidR="008702B8" w:rsidRDefault="008702B8" w:rsidP="008702B8">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8702B8" w:rsidRDefault="008702B8" w:rsidP="008702B8">
      <w:pPr>
        <w:pStyle w:val="Heading3"/>
      </w:pPr>
      <w:r>
        <w:t>Structure of the report</w:t>
      </w:r>
    </w:p>
    <w:p w:rsidR="008702B8" w:rsidRDefault="008702B8" w:rsidP="008702B8">
      <w:pPr>
        <w:pStyle w:val="Level1"/>
        <w:numPr>
          <w:ilvl w:val="0"/>
          <w:numId w:val="0"/>
        </w:numPr>
      </w:pPr>
      <w:r>
        <w:t>The report is comprised of the following parts:</w:t>
      </w:r>
    </w:p>
    <w:p w:rsidR="008702B8" w:rsidRDefault="008702B8" w:rsidP="008702B8">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8702B8" w:rsidRDefault="008702B8" w:rsidP="008702B8">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8702B8" w:rsidRDefault="008702B8" w:rsidP="008702B8">
      <w:pPr>
        <w:pStyle w:val="Bullet1"/>
        <w:spacing w:after="120"/>
      </w:pPr>
      <w:r>
        <w:t>Appendix 1 provides an index listing all instruments scrutinised in the period covered by the report;</w:t>
      </w:r>
    </w:p>
    <w:p w:rsidR="008702B8" w:rsidRDefault="008702B8" w:rsidP="008702B8">
      <w:pPr>
        <w:pStyle w:val="Bullet1"/>
        <w:spacing w:after="120"/>
      </w:pPr>
      <w:r>
        <w:t xml:space="preserve">Appendix 2 contains the committee's guideline on addressing the consultation requirements of the </w:t>
      </w:r>
      <w:r>
        <w:rPr>
          <w:i/>
        </w:rPr>
        <w:t>Legislative Instruments Act 2003</w:t>
      </w:r>
      <w:r>
        <w:t>.</w:t>
      </w:r>
    </w:p>
    <w:p w:rsidR="008702B8" w:rsidRDefault="008702B8" w:rsidP="008702B8">
      <w:pPr>
        <w:pStyle w:val="Heading3"/>
      </w:pPr>
      <w:r>
        <w:t>Acknowledgement</w:t>
      </w:r>
    </w:p>
    <w:p w:rsidR="008702B8" w:rsidRDefault="008702B8" w:rsidP="008702B8">
      <w:pPr>
        <w:pStyle w:val="Level1"/>
        <w:numPr>
          <w:ilvl w:val="0"/>
          <w:numId w:val="0"/>
        </w:numPr>
        <w:spacing w:after="120"/>
      </w:pPr>
      <w:r>
        <w:t>The committee wishes to acknowledge the cooperation of the ministers, instrument-makers and departments who assisted the committee with its consideration of the issues raised in this report.</w:t>
      </w:r>
    </w:p>
    <w:p w:rsidR="008702B8" w:rsidRDefault="008702B8" w:rsidP="008702B8">
      <w:pPr>
        <w:pStyle w:val="Bullet1"/>
        <w:numPr>
          <w:ilvl w:val="0"/>
          <w:numId w:val="0"/>
        </w:numPr>
        <w:spacing w:after="120"/>
        <w:ind w:left="851" w:hanging="851"/>
        <w:rPr>
          <w:b/>
        </w:rPr>
      </w:pPr>
    </w:p>
    <w:p w:rsidR="008702B8" w:rsidRDefault="008702B8" w:rsidP="008702B8">
      <w:pPr>
        <w:pStyle w:val="Bullet1"/>
        <w:numPr>
          <w:ilvl w:val="0"/>
          <w:numId w:val="0"/>
        </w:numPr>
        <w:spacing w:after="120"/>
        <w:ind w:left="851" w:hanging="851"/>
        <w:rPr>
          <w:b/>
        </w:rPr>
      </w:pPr>
    </w:p>
    <w:p w:rsidR="008702B8" w:rsidRDefault="008702B8" w:rsidP="008702B8">
      <w:pPr>
        <w:pStyle w:val="Bullet1"/>
        <w:numPr>
          <w:ilvl w:val="0"/>
          <w:numId w:val="0"/>
        </w:numPr>
        <w:spacing w:after="120"/>
        <w:ind w:left="851" w:hanging="851"/>
        <w:rPr>
          <w:b/>
        </w:rPr>
      </w:pPr>
    </w:p>
    <w:p w:rsidR="008702B8" w:rsidRDefault="008702B8" w:rsidP="008702B8">
      <w:pPr>
        <w:pStyle w:val="Bullet1"/>
        <w:numPr>
          <w:ilvl w:val="0"/>
          <w:numId w:val="0"/>
        </w:numPr>
        <w:spacing w:after="120"/>
        <w:ind w:left="851" w:hanging="851"/>
        <w:rPr>
          <w:b/>
        </w:rPr>
      </w:pPr>
    </w:p>
    <w:p w:rsidR="008702B8" w:rsidRDefault="008702B8" w:rsidP="008702B8">
      <w:pPr>
        <w:pStyle w:val="Bullet1"/>
        <w:numPr>
          <w:ilvl w:val="0"/>
          <w:numId w:val="0"/>
        </w:numPr>
        <w:spacing w:after="120"/>
        <w:ind w:left="851" w:hanging="851"/>
        <w:rPr>
          <w:b/>
        </w:rPr>
      </w:pPr>
    </w:p>
    <w:p w:rsidR="008702B8" w:rsidRDefault="008702B8" w:rsidP="008702B8">
      <w:pPr>
        <w:pStyle w:val="Bullet1"/>
        <w:numPr>
          <w:ilvl w:val="0"/>
          <w:numId w:val="0"/>
        </w:numPr>
        <w:spacing w:after="120"/>
        <w:ind w:left="851" w:hanging="851"/>
        <w:rPr>
          <w:b/>
        </w:rPr>
      </w:pPr>
    </w:p>
    <w:p w:rsidR="008702B8" w:rsidRDefault="008702B8" w:rsidP="008702B8">
      <w:pPr>
        <w:pStyle w:val="Bullet1"/>
        <w:numPr>
          <w:ilvl w:val="0"/>
          <w:numId w:val="0"/>
        </w:numPr>
        <w:spacing w:after="0"/>
        <w:ind w:left="851" w:hanging="851"/>
        <w:rPr>
          <w:b/>
        </w:rPr>
      </w:pPr>
    </w:p>
    <w:p w:rsidR="008702B8" w:rsidRPr="00364316" w:rsidRDefault="008702B8" w:rsidP="008702B8">
      <w:pPr>
        <w:pStyle w:val="Bullet1"/>
        <w:numPr>
          <w:ilvl w:val="0"/>
          <w:numId w:val="0"/>
        </w:numPr>
        <w:spacing w:after="0"/>
        <w:ind w:left="851" w:hanging="851"/>
        <w:rPr>
          <w:b/>
        </w:rPr>
      </w:pPr>
      <w:r w:rsidRPr="00364316">
        <w:rPr>
          <w:b/>
        </w:rPr>
        <w:t>Senator Mark Furner</w:t>
      </w:r>
    </w:p>
    <w:p w:rsidR="008702B8" w:rsidRDefault="008702B8" w:rsidP="008702B8">
      <w:pPr>
        <w:pStyle w:val="Bullet1"/>
        <w:numPr>
          <w:ilvl w:val="0"/>
          <w:numId w:val="0"/>
        </w:numPr>
        <w:spacing w:after="0"/>
        <w:ind w:left="851" w:hanging="851"/>
        <w:rPr>
          <w:b/>
        </w:rPr>
        <w:sectPr w:rsidR="008702B8" w:rsidSect="0000066E">
          <w:footerReference w:type="even" r:id="rId8"/>
          <w:footerReference w:type="default" r:id="rId9"/>
          <w:headerReference w:type="first" r:id="rId10"/>
          <w:footerReference w:type="first" r:id="rId11"/>
          <w:pgSz w:w="11906" w:h="16838" w:code="9"/>
          <w:pgMar w:top="1440" w:right="1440" w:bottom="1202" w:left="1440" w:header="1134" w:footer="720" w:gutter="0"/>
          <w:paperSrc w:first="2" w:other="2"/>
          <w:pgNumType w:fmt="lowerRoman" w:start="1"/>
          <w:cols w:space="720"/>
          <w:titlePg/>
          <w:docGrid w:linePitch="354"/>
        </w:sectPr>
      </w:pPr>
      <w:r w:rsidRPr="00364316">
        <w:rPr>
          <w:b/>
        </w:rPr>
        <w:t>Chair</w:t>
      </w:r>
    </w:p>
    <w:p w:rsidR="001E0AC1" w:rsidRDefault="001E0AC1" w:rsidP="001E0AC1">
      <w:pPr>
        <w:pStyle w:val="Heading1"/>
      </w:pPr>
      <w:r>
        <w:lastRenderedPageBreak/>
        <w:t>Chapter 1</w:t>
      </w:r>
    </w:p>
    <w:p w:rsidR="001E0AC1" w:rsidRPr="003370A4" w:rsidRDefault="001E0AC1" w:rsidP="001E0AC1">
      <w:pPr>
        <w:pStyle w:val="Heading2"/>
      </w:pPr>
      <w:r>
        <w:t>New and continuing matters</w:t>
      </w:r>
    </w:p>
    <w:p w:rsidR="001E0AC1" w:rsidRDefault="001E0AC1" w:rsidP="001E0AC1">
      <w:pPr>
        <w:pStyle w:val="Level1"/>
        <w:numPr>
          <w:ilvl w:val="0"/>
          <w:numId w:val="0"/>
        </w:numPr>
      </w:pPr>
      <w:r>
        <w:t xml:space="preserve">This chapter lists new matters identified by the committee at its meeting on </w:t>
      </w:r>
      <w:r w:rsidRPr="00D91296">
        <w:rPr>
          <w:b/>
        </w:rPr>
        <w:t>28</w:t>
      </w:r>
      <w:r w:rsidRPr="003370A4">
        <w:rPr>
          <w:b/>
        </w:rPr>
        <w:t> </w:t>
      </w:r>
      <w:r>
        <w:rPr>
          <w:b/>
        </w:rPr>
        <w:t>February</w:t>
      </w:r>
      <w:r w:rsidRPr="003370A4">
        <w:rPr>
          <w:b/>
        </w:rPr>
        <w:t xml:space="preserve"> 2012</w:t>
      </w:r>
      <w:r>
        <w:t>, and continuing matters in relation to which the committee has received recent correspondence. The committee will write to relevant ministers or instrument makers seeking further information or an appropriate undertaking within the disallowance period.</w:t>
      </w:r>
    </w:p>
    <w:p w:rsidR="001E0AC1" w:rsidRPr="00B54538" w:rsidRDefault="001E0AC1" w:rsidP="001E0AC1">
      <w:pPr>
        <w:pStyle w:val="Heading3"/>
        <w:spacing w:before="240"/>
      </w:pPr>
      <w:r w:rsidRPr="00310C67">
        <w:rPr>
          <w:noProof/>
        </w:rPr>
        <w:t>Carbon Credits (Carbon Farming Initiative) (Destruction of Methane Generated from Dairy Manure in Covered Anaerobic Ponds) Methodology Determination 2012</w:t>
      </w:r>
      <w:r>
        <w:rPr>
          <w:noProof/>
        </w:rPr>
        <w:t xml:space="preserve"> </w:t>
      </w:r>
      <w:r w:rsidRPr="000E6FB5">
        <w:t>[F2012L02571]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Sets out the rules for implementing </w:t>
            </w:r>
            <w:r>
              <w:rPr>
                <w:rFonts w:ascii="Times New Roman" w:hAnsi="Times New Roman"/>
                <w:noProof/>
                <w:sz w:val="24"/>
                <w:szCs w:val="24"/>
              </w:rPr>
              <w:t xml:space="preserve">and monitoring an agricultural emissions avoidance project under the Carbon Farming Initiative (CFI) to </w:t>
            </w:r>
            <w:r w:rsidRPr="00310C67">
              <w:rPr>
                <w:rFonts w:ascii="Times New Roman" w:hAnsi="Times New Roman"/>
                <w:noProof/>
                <w:sz w:val="24"/>
                <w:szCs w:val="24"/>
              </w:rPr>
              <w:t xml:space="preserve">to </w:t>
            </w:r>
            <w:r>
              <w:rPr>
                <w:rFonts w:ascii="Times New Roman" w:hAnsi="Times New Roman"/>
                <w:noProof/>
                <w:sz w:val="24"/>
                <w:szCs w:val="24"/>
              </w:rPr>
              <w:t>capture biogas generated from dairy farms.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3"/>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BF65FE" w:rsidRDefault="001E0AC1" w:rsidP="001E0AC1">
            <w:pPr>
              <w:pStyle w:val="letterheadbody"/>
              <w:spacing w:line="264" w:lineRule="auto"/>
              <w:ind w:left="0"/>
              <w:rPr>
                <w:rFonts w:ascii="Times New Roman" w:hAnsi="Times New Roman"/>
                <w:i/>
                <w:sz w:val="24"/>
                <w:szCs w:val="24"/>
              </w:rPr>
            </w:pPr>
            <w:r w:rsidRPr="00BF65FE">
              <w:rPr>
                <w:rFonts w:ascii="Times New Roman" w:hAnsi="Times New Roman"/>
                <w:i/>
                <w:noProof/>
                <w:sz w:val="24"/>
                <w:szCs w:val="24"/>
              </w:rPr>
              <w:t>Carbon Credits (Carbon Farming Initiative) Act 2011</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Climate Change and Energy Efficiency</w:t>
            </w:r>
          </w:p>
        </w:tc>
      </w:tr>
    </w:tbl>
    <w:p w:rsidR="001E0AC1"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Pr="00310C67" w:rsidRDefault="001E0AC1" w:rsidP="001E0AC1">
      <w:pPr>
        <w:rPr>
          <w:noProof/>
          <w:szCs w:val="26"/>
        </w:rPr>
      </w:pPr>
      <w:r>
        <w:rPr>
          <w:noProof/>
          <w:szCs w:val="26"/>
        </w:rPr>
        <w:t>Regarding consulation, t</w:t>
      </w:r>
      <w:r w:rsidRPr="00310C67">
        <w:rPr>
          <w:noProof/>
          <w:szCs w:val="26"/>
        </w:rPr>
        <w:t xml:space="preserve">he explanatory statement </w:t>
      </w:r>
      <w:r>
        <w:rPr>
          <w:noProof/>
          <w:szCs w:val="26"/>
        </w:rPr>
        <w:t xml:space="preserve">(ES) </w:t>
      </w:r>
      <w:r w:rsidRPr="00310C67">
        <w:rPr>
          <w:noProof/>
          <w:szCs w:val="26"/>
        </w:rPr>
        <w:t>for this instrument</w:t>
      </w:r>
      <w:r>
        <w:rPr>
          <w:noProof/>
          <w:szCs w:val="26"/>
        </w:rPr>
        <w:t xml:space="preserve"> states</w:t>
      </w:r>
      <w:r w:rsidRPr="00310C67">
        <w:rPr>
          <w:noProof/>
          <w:szCs w:val="26"/>
        </w:rPr>
        <w:t>:</w:t>
      </w:r>
      <w:r>
        <w:rPr>
          <w:rStyle w:val="FootnoteReference"/>
          <w:noProof/>
          <w:szCs w:val="26"/>
        </w:rPr>
        <w:footnoteReference w:id="4"/>
      </w:r>
    </w:p>
    <w:p w:rsidR="001E0AC1" w:rsidRPr="00310C67" w:rsidRDefault="001E0AC1" w:rsidP="001E0AC1">
      <w:pPr>
        <w:pStyle w:val="Quote"/>
        <w:rPr>
          <w:noProof/>
        </w:rPr>
      </w:pPr>
      <w:r w:rsidRPr="00310C67">
        <w:rPr>
          <w:noProof/>
        </w:rPr>
        <w:t>The methodology proposal was developed by the Department of Climate Change and Energy Efficiency (the Department) in collaboration with a technical working group made up of representatives from the dairy industry, the Australian Government and State and Territory governments.</w:t>
      </w:r>
    </w:p>
    <w:p w:rsidR="001E0AC1" w:rsidRPr="00310C67" w:rsidRDefault="001E0AC1" w:rsidP="001E0AC1">
      <w:pPr>
        <w:pStyle w:val="Quote"/>
        <w:rPr>
          <w:noProof/>
        </w:rPr>
      </w:pPr>
      <w:r w:rsidRPr="00310C67">
        <w:rPr>
          <w:noProof/>
        </w:rPr>
        <w:t>The methodology proposal was published on the Department</w:t>
      </w:r>
      <w:r>
        <w:rPr>
          <w:noProof/>
        </w:rPr>
        <w:t>'</w:t>
      </w:r>
      <w:r w:rsidRPr="00310C67">
        <w:rPr>
          <w:noProof/>
        </w:rPr>
        <w:t xml:space="preserve">s website for public consultation from 13 June 2012 to 21 July 2012. Stakeholders and members of the public who asked to be listed on the mailing list maintained by the Department were notified of </w:t>
      </w:r>
      <w:r>
        <w:rPr>
          <w:noProof/>
        </w:rPr>
        <w:t>the public consultation period.</w:t>
      </w:r>
    </w:p>
    <w:p w:rsidR="001E0AC1" w:rsidRDefault="001E0AC1" w:rsidP="001E0AC1">
      <w:pPr>
        <w:rPr>
          <w:noProof/>
          <w:szCs w:val="26"/>
        </w:rPr>
      </w:pPr>
      <w:r w:rsidRPr="00310C67">
        <w:rPr>
          <w:noProof/>
          <w:szCs w:val="26"/>
        </w:rPr>
        <w:t xml:space="preserve">Unlike the explanatory statement for </w:t>
      </w:r>
      <w:r>
        <w:rPr>
          <w:noProof/>
          <w:szCs w:val="26"/>
        </w:rPr>
        <w:t xml:space="preserve">a similar instrument, </w:t>
      </w:r>
      <w:r w:rsidRPr="00310C67">
        <w:rPr>
          <w:noProof/>
          <w:szCs w:val="26"/>
        </w:rPr>
        <w:t xml:space="preserve">the Carbon Credits (Carbon Farming Initiative) (Capture and Combustion of Methane in Landfill Gas for Legacy Waste: Upgrade projects) Methodology Determination 2012 [F2012L02583], no information is provided </w:t>
      </w:r>
      <w:r>
        <w:rPr>
          <w:noProof/>
          <w:szCs w:val="26"/>
        </w:rPr>
        <w:t xml:space="preserve">as </w:t>
      </w:r>
      <w:r w:rsidRPr="00310C67">
        <w:rPr>
          <w:noProof/>
          <w:szCs w:val="26"/>
        </w:rPr>
        <w:t xml:space="preserve">to </w:t>
      </w:r>
      <w:r>
        <w:rPr>
          <w:noProof/>
          <w:szCs w:val="26"/>
        </w:rPr>
        <w:t xml:space="preserve">the outcome </w:t>
      </w:r>
      <w:r w:rsidRPr="00310C67">
        <w:rPr>
          <w:noProof/>
          <w:szCs w:val="26"/>
        </w:rPr>
        <w:t>of the consultation</w:t>
      </w:r>
      <w:r>
        <w:rPr>
          <w:noProof/>
          <w:szCs w:val="26"/>
        </w:rPr>
        <w:t xml:space="preserve">, such as the number, if </w:t>
      </w:r>
      <w:r>
        <w:rPr>
          <w:noProof/>
          <w:szCs w:val="26"/>
        </w:rPr>
        <w:lastRenderedPageBreak/>
        <w:t xml:space="preserve">any, of submissions received and the extent to which any comments may have been or were required to be taken into account. </w:t>
      </w:r>
      <w:r w:rsidRPr="00D91296">
        <w:rPr>
          <w:b/>
          <w:noProof/>
          <w:szCs w:val="26"/>
        </w:rPr>
        <w:t xml:space="preserve">The committee will therefore seek further information from the </w:t>
      </w:r>
      <w:r>
        <w:rPr>
          <w:b/>
          <w:noProof/>
          <w:szCs w:val="26"/>
        </w:rPr>
        <w:t>parliamentary secretary</w:t>
      </w:r>
      <w:r w:rsidRPr="00310C67">
        <w:rPr>
          <w:noProof/>
          <w:szCs w:val="26"/>
        </w:rPr>
        <w:t>.</w:t>
      </w:r>
    </w:p>
    <w:p w:rsidR="001E0AC1" w:rsidRPr="00B54538" w:rsidRDefault="001E0AC1" w:rsidP="001E0AC1">
      <w:pPr>
        <w:pStyle w:val="Heading3"/>
        <w:spacing w:before="600"/>
      </w:pPr>
      <w:r>
        <w:rPr>
          <w:noProof/>
        </w:rPr>
        <w:t>CASA EX</w:t>
      </w:r>
      <w:r w:rsidRPr="00310C67">
        <w:rPr>
          <w:noProof/>
        </w:rPr>
        <w:t>190/12 – Exemption – from standard take-off and landing minima – Airasia X SDN. BHD</w:t>
      </w:r>
      <w:r>
        <w:rPr>
          <w:noProof/>
        </w:rPr>
        <w:t xml:space="preserve"> [F2013L00033]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Permits the operator to use reduced visibility minima when its air</w:t>
            </w:r>
            <w:r>
              <w:rPr>
                <w:rFonts w:ascii="Times New Roman" w:hAnsi="Times New Roman"/>
                <w:noProof/>
                <w:sz w:val="24"/>
                <w:szCs w:val="24"/>
              </w:rPr>
              <w:t>craft are landing or taking off</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Pr="00310C67" w:rsidRDefault="001E0AC1" w:rsidP="001E0AC1">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w:t>
      </w:r>
      <w:r>
        <w:rPr>
          <w:noProof/>
          <w:szCs w:val="26"/>
        </w:rPr>
        <w:t xml:space="preserve">for </w:t>
      </w:r>
      <w:r w:rsidRPr="00AE3138">
        <w:rPr>
          <w:noProof/>
          <w:szCs w:val="26"/>
        </w:rPr>
        <w:t xml:space="preserve">the </w:t>
      </w:r>
      <w:r>
        <w:rPr>
          <w:noProof/>
          <w:szCs w:val="26"/>
        </w:rPr>
        <w:t>instrument</w:t>
      </w:r>
      <w:r>
        <w:rPr>
          <w:noProof/>
        </w:rPr>
        <w:t xml:space="preserve"> states</w:t>
      </w:r>
      <w:r w:rsidRPr="00310C67">
        <w:rPr>
          <w:noProof/>
        </w:rPr>
        <w:t>:</w:t>
      </w:r>
    </w:p>
    <w:p w:rsidR="001E0AC1" w:rsidRPr="00310C67" w:rsidRDefault="001E0AC1" w:rsidP="001E0AC1">
      <w:pPr>
        <w:pStyle w:val="Quote"/>
        <w:spacing w:after="120"/>
        <w:rPr>
          <w:noProof/>
        </w:rPr>
      </w:pPr>
      <w:r w:rsidRPr="00310C67">
        <w:rPr>
          <w:noProof/>
        </w:rPr>
        <w:t xml:space="preserve">Consultation under section 17 of the LIA has not been undertaken in this case. The instrument is in the same terms as many instruments issued to foreign </w:t>
      </w:r>
      <w:r>
        <w:rPr>
          <w:noProof/>
        </w:rPr>
        <w:t>operators for the same purpose.</w:t>
      </w:r>
    </w:p>
    <w:p w:rsidR="001E0AC1" w:rsidRDefault="001E0AC1" w:rsidP="001E0AC1">
      <w:pPr>
        <w:rPr>
          <w:noProof/>
          <w:szCs w:val="26"/>
        </w:rPr>
      </w:pP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instrument maker that consultation was 'unecessary' or 'inappropriate' (as provided for by section 18).</w:t>
      </w:r>
      <w:r w:rsidRPr="00134E6B">
        <w:rPr>
          <w:b/>
          <w:noProof/>
          <w:szCs w:val="26"/>
        </w:rPr>
        <w:t xml:space="preserve"> The committee </w:t>
      </w:r>
      <w:r>
        <w:rPr>
          <w:b/>
          <w:noProof/>
          <w:szCs w:val="26"/>
        </w:rPr>
        <w:t xml:space="preserve">will therefore </w:t>
      </w:r>
      <w:r w:rsidRPr="00134E6B">
        <w:rPr>
          <w:b/>
          <w:noProof/>
          <w:szCs w:val="26"/>
        </w:rPr>
        <w:t>seek further information from the minister</w:t>
      </w:r>
      <w:r>
        <w:rPr>
          <w:b/>
          <w:noProof/>
          <w:szCs w:val="26"/>
        </w:rPr>
        <w:t xml:space="preserve"> </w:t>
      </w:r>
      <w:r w:rsidRPr="00940F8E">
        <w:rPr>
          <w:b/>
          <w:noProof/>
        </w:rPr>
        <w:t xml:space="preserve">and request that the ES be updated in accordance with the requirements of the </w:t>
      </w:r>
      <w:r w:rsidRPr="00E2599D">
        <w:rPr>
          <w:b/>
          <w:i/>
          <w:noProof/>
        </w:rPr>
        <w:t>Legislative Instruments Act 2003</w:t>
      </w:r>
      <w:r w:rsidRPr="00310C67">
        <w:rPr>
          <w:noProof/>
          <w:szCs w:val="26"/>
        </w:rPr>
        <w:t>.</w:t>
      </w:r>
    </w:p>
    <w:p w:rsidR="001E0AC1" w:rsidRDefault="001E0AC1" w:rsidP="009F02ED">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CASA EX191/12 - Exemption - solo flight training using ultralight aeroplanes registered with Recreational Aviation Australia Incorporated at Jandakot Aerodrome</w:t>
      </w:r>
      <w:r>
        <w:rPr>
          <w:noProof/>
        </w:rPr>
        <w:t xml:space="preserve"> </w:t>
      </w:r>
      <w:r w:rsidRPr="000E6FB5">
        <w:t>[F2012L02521]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Allows Cloud Dancer Pilot Training Pty Ltd to conduct solo flight training for student pilots using ultralight aeroplanes registered with Recreational </w:t>
            </w:r>
            <w:r>
              <w:rPr>
                <w:rFonts w:ascii="Times New Roman" w:hAnsi="Times New Roman"/>
                <w:noProof/>
                <w:sz w:val="24"/>
                <w:szCs w:val="24"/>
              </w:rPr>
              <w:t>Aviation Australia Incorporated</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Pr="00310C67" w:rsidRDefault="001E0AC1" w:rsidP="001E0AC1">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w:t>
      </w:r>
      <w:r>
        <w:rPr>
          <w:noProof/>
          <w:szCs w:val="26"/>
        </w:rPr>
        <w:t xml:space="preserve">for </w:t>
      </w:r>
      <w:r w:rsidRPr="00AE3138">
        <w:rPr>
          <w:noProof/>
          <w:szCs w:val="26"/>
        </w:rPr>
        <w:t xml:space="preserve">the </w:t>
      </w:r>
      <w:r>
        <w:rPr>
          <w:noProof/>
          <w:szCs w:val="26"/>
        </w:rPr>
        <w:t>instrument</w:t>
      </w:r>
      <w:r>
        <w:rPr>
          <w:noProof/>
        </w:rPr>
        <w:t xml:space="preserve"> states</w:t>
      </w:r>
      <w:r w:rsidRPr="00310C67">
        <w:rPr>
          <w:noProof/>
        </w:rPr>
        <w:t>:</w:t>
      </w:r>
    </w:p>
    <w:p w:rsidR="001E0AC1" w:rsidRPr="00310C67" w:rsidRDefault="001E0AC1" w:rsidP="001E0AC1">
      <w:pPr>
        <w:pStyle w:val="Quote"/>
        <w:spacing w:after="120"/>
        <w:rPr>
          <w:noProof/>
        </w:rPr>
      </w:pPr>
      <w:r w:rsidRPr="00310C67">
        <w:rPr>
          <w:noProof/>
        </w:rPr>
        <w:t>Consultation under section 17 of the LIA has not been undertaken in this case. A number of similar instruments have been issued to allow pilot training to take place in controlled airspace in ultralight aircraft where CASA con</w:t>
      </w:r>
      <w:r>
        <w:rPr>
          <w:noProof/>
        </w:rPr>
        <w:t>siders it appropriate to do so.</w:t>
      </w:r>
    </w:p>
    <w:p w:rsidR="001E0AC1" w:rsidRDefault="001E0AC1" w:rsidP="001E0AC1">
      <w:pPr>
        <w:rPr>
          <w:noProof/>
          <w:szCs w:val="26"/>
        </w:rPr>
      </w:pP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instrument maker that consultation was 'unecessary' or 'inappropriate' (as provided for by section 18).</w:t>
      </w:r>
      <w:r w:rsidRPr="00134E6B">
        <w:rPr>
          <w:b/>
          <w:noProof/>
          <w:szCs w:val="26"/>
        </w:rPr>
        <w:t xml:space="preserve"> The committee </w:t>
      </w:r>
      <w:r>
        <w:rPr>
          <w:b/>
          <w:noProof/>
          <w:szCs w:val="26"/>
        </w:rPr>
        <w:t xml:space="preserve">will therefore </w:t>
      </w:r>
      <w:r w:rsidRPr="00134E6B">
        <w:rPr>
          <w:b/>
          <w:noProof/>
          <w:szCs w:val="26"/>
        </w:rPr>
        <w:t>seek further information from the minister</w:t>
      </w:r>
      <w:r>
        <w:rPr>
          <w:b/>
          <w:noProof/>
          <w:szCs w:val="26"/>
        </w:rPr>
        <w:t xml:space="preserve"> </w:t>
      </w:r>
      <w:r w:rsidRPr="00940F8E">
        <w:rPr>
          <w:b/>
          <w:noProof/>
        </w:rPr>
        <w:t xml:space="preserve">and request that the ES be updated in accordance with the requirements of the </w:t>
      </w:r>
      <w:r w:rsidRPr="00E2599D">
        <w:rPr>
          <w:b/>
          <w:i/>
          <w:noProof/>
        </w:rPr>
        <w:t>Legislative Instruments Act 2003</w:t>
      </w:r>
      <w:r w:rsidRPr="00310C67">
        <w:rPr>
          <w:noProof/>
          <w:szCs w:val="26"/>
        </w:rPr>
        <w:t>.</w:t>
      </w:r>
    </w:p>
    <w:p w:rsidR="001E0AC1" w:rsidRDefault="001E0AC1" w:rsidP="009F02ED">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Coastal Trading (Revitalising Australian Shipping) Act 2012 – Section 11 exemption for cruise vessels</w:t>
      </w:r>
      <w:r>
        <w:rPr>
          <w:noProof/>
        </w:rPr>
        <w:t xml:space="preserve"> </w:t>
      </w:r>
      <w:r w:rsidRPr="000E6FB5">
        <w:t>[F2012L02585]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Provides an exemption from the </w:t>
            </w:r>
            <w:r w:rsidRPr="006E5BFF">
              <w:rPr>
                <w:rFonts w:ascii="Times New Roman" w:hAnsi="Times New Roman"/>
                <w:i/>
                <w:noProof/>
                <w:sz w:val="24"/>
                <w:szCs w:val="24"/>
              </w:rPr>
              <w:t>Coastal Trading (Revitalising Australian Shipping) Act 2012</w:t>
            </w:r>
            <w:r w:rsidRPr="00310C67">
              <w:rPr>
                <w:rFonts w:ascii="Times New Roman" w:hAnsi="Times New Roman"/>
                <w:noProof/>
                <w:sz w:val="24"/>
                <w:szCs w:val="24"/>
              </w:rPr>
              <w:t xml:space="preserve"> for </w:t>
            </w:r>
            <w:r>
              <w:rPr>
                <w:rFonts w:ascii="Times New Roman" w:hAnsi="Times New Roman"/>
                <w:noProof/>
                <w:sz w:val="24"/>
                <w:szCs w:val="24"/>
              </w:rPr>
              <w:t>certain cruise vessels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AE3138" w:rsidRDefault="001E0AC1" w:rsidP="001E0AC1">
            <w:pPr>
              <w:pStyle w:val="letterheadbody"/>
              <w:spacing w:line="264" w:lineRule="auto"/>
              <w:ind w:left="0"/>
              <w:rPr>
                <w:rFonts w:ascii="Times New Roman" w:hAnsi="Times New Roman"/>
                <w:i/>
                <w:sz w:val="24"/>
                <w:szCs w:val="24"/>
              </w:rPr>
            </w:pPr>
            <w:r w:rsidRPr="00AE3138">
              <w:rPr>
                <w:rFonts w:ascii="Times New Roman" w:hAnsi="Times New Roman"/>
                <w:i/>
                <w:noProof/>
                <w:sz w:val="24"/>
                <w:szCs w:val="24"/>
              </w:rPr>
              <w:t>Coastal Trading (Revitalising Australian Shipping) Act 2012</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ISSUES:</w:t>
      </w:r>
    </w:p>
    <w:p w:rsidR="001E0AC1" w:rsidRPr="00B54538" w:rsidRDefault="001E0AC1" w:rsidP="001E0AC1">
      <w:pPr>
        <w:pStyle w:val="Heading4"/>
        <w:numPr>
          <w:ilvl w:val="3"/>
          <w:numId w:val="21"/>
        </w:numPr>
        <w:spacing w:before="120" w:after="120"/>
        <w:rPr>
          <w:noProof/>
        </w:rPr>
      </w:pPr>
      <w:r>
        <w:rPr>
          <w:noProof/>
        </w:rPr>
        <w:t xml:space="preserve">(a) </w:t>
      </w:r>
      <w:r w:rsidRPr="00310C67">
        <w:rPr>
          <w:noProof/>
        </w:rPr>
        <w:t xml:space="preserve">No explanation provided </w:t>
      </w:r>
      <w:r>
        <w:rPr>
          <w:noProof/>
        </w:rPr>
        <w:t xml:space="preserve">regarding </w:t>
      </w:r>
      <w:r w:rsidRPr="00310C67">
        <w:rPr>
          <w:noProof/>
        </w:rPr>
        <w:t xml:space="preserve">consultation </w:t>
      </w:r>
    </w:p>
    <w:p w:rsidR="001E0AC1" w:rsidRDefault="001E0AC1" w:rsidP="001E0AC1">
      <w:pPr>
        <w:rPr>
          <w:noProof/>
          <w:szCs w:val="26"/>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 the ES be updated in accordance with the requirements of the </w:t>
      </w:r>
      <w:r w:rsidRPr="00E2599D">
        <w:rPr>
          <w:b/>
          <w:i/>
          <w:noProof/>
        </w:rPr>
        <w:t>Legislative Instruments Act 2003</w:t>
      </w:r>
      <w:r>
        <w:rPr>
          <w:noProof/>
        </w:rPr>
        <w:t>.</w:t>
      </w:r>
    </w:p>
    <w:p w:rsidR="001E0AC1" w:rsidRPr="00310C67" w:rsidRDefault="001E0AC1" w:rsidP="001E0AC1">
      <w:pPr>
        <w:pStyle w:val="Heading4"/>
        <w:numPr>
          <w:ilvl w:val="0"/>
          <w:numId w:val="0"/>
        </w:numPr>
        <w:rPr>
          <w:noProof/>
          <w:szCs w:val="26"/>
        </w:rPr>
      </w:pPr>
      <w:r w:rsidRPr="00310C67">
        <w:rPr>
          <w:noProof/>
        </w:rPr>
        <w:t>(b) Whether exemption more appropriate for parliamentary enactment</w:t>
      </w:r>
    </w:p>
    <w:p w:rsidR="001E0AC1" w:rsidRDefault="001E0AC1" w:rsidP="001E0AC1">
      <w:pPr>
        <w:rPr>
          <w:noProof/>
        </w:rPr>
      </w:pPr>
      <w:r w:rsidRPr="00310C67">
        <w:rPr>
          <w:noProof/>
          <w:szCs w:val="26"/>
        </w:rPr>
        <w:t xml:space="preserve">The instrument allows a certain class of vessel to engage in carriage of passengers between Australian ports (except Victoria and Tasmania) without a licence, continuing for a further four years an exemption in effect since 1998. </w:t>
      </w:r>
      <w:r>
        <w:rPr>
          <w:noProof/>
          <w:szCs w:val="26"/>
        </w:rPr>
        <w:t xml:space="preserve">The committee considers that the exemption </w:t>
      </w:r>
      <w:r w:rsidRPr="00310C67">
        <w:rPr>
          <w:noProof/>
          <w:szCs w:val="26"/>
        </w:rPr>
        <w:t>could be characterised as a de facto amendment to the Act, and as such it may be that the exemption would be more appropriately effected through an amendment to the principal Act.</w:t>
      </w:r>
      <w:r>
        <w:rPr>
          <w:noProof/>
          <w:szCs w:val="26"/>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w:t>
      </w:r>
      <w:r>
        <w:rPr>
          <w:noProof/>
        </w:rPr>
        <w:t>.</w:t>
      </w:r>
    </w:p>
    <w:p w:rsidR="001E0AC1" w:rsidRDefault="001E0AC1" w:rsidP="001E0AC1">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Commonwealth Places (Mirror Taxes) (Modification of Applied Laws (WA)) Amendment Notice 2012</w:t>
      </w:r>
      <w:r>
        <w:rPr>
          <w:noProof/>
        </w:rPr>
        <w:t xml:space="preserve"> </w:t>
      </w:r>
      <w:r w:rsidRPr="000E6FB5">
        <w:t>[F2012L02505]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Amends the Commonwealth Places (Mirror Taxes) (Modification of Applied Laws (WA)) Notice 2007 to reflect changes to certain taxing </w:t>
            </w:r>
            <w:r>
              <w:rPr>
                <w:rFonts w:ascii="Times New Roman" w:hAnsi="Times New Roman"/>
                <w:noProof/>
                <w:sz w:val="24"/>
                <w:szCs w:val="24"/>
              </w:rPr>
              <w:t>laws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A84909" w:rsidRDefault="001E0AC1" w:rsidP="001E0AC1">
            <w:pPr>
              <w:pStyle w:val="letterheadbody"/>
              <w:spacing w:line="264" w:lineRule="auto"/>
              <w:ind w:left="0"/>
              <w:rPr>
                <w:rFonts w:ascii="Times New Roman" w:hAnsi="Times New Roman"/>
                <w:i/>
                <w:sz w:val="24"/>
                <w:szCs w:val="24"/>
              </w:rPr>
            </w:pPr>
            <w:r w:rsidRPr="00A84909">
              <w:rPr>
                <w:rFonts w:ascii="Times New Roman" w:hAnsi="Times New Roman"/>
                <w:i/>
                <w:noProof/>
                <w:sz w:val="24"/>
                <w:szCs w:val="24"/>
              </w:rPr>
              <w:t>Commonwealth Places (Mirror Taxes) Act 1998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Treasury</w:t>
            </w:r>
          </w:p>
        </w:tc>
      </w:tr>
    </w:tbl>
    <w:p w:rsidR="001E0AC1" w:rsidRPr="00B54538" w:rsidRDefault="001E0AC1" w:rsidP="001E0AC1">
      <w:pPr>
        <w:spacing w:after="0"/>
        <w:rPr>
          <w:szCs w:val="26"/>
        </w:rPr>
      </w:pPr>
    </w:p>
    <w:p w:rsidR="001E0AC1" w:rsidRDefault="001E0AC1" w:rsidP="001E0AC1">
      <w:pPr>
        <w:spacing w:after="0"/>
        <w:rPr>
          <w:b/>
          <w:szCs w:val="26"/>
        </w:rPr>
      </w:pPr>
      <w:r w:rsidRPr="00B54538">
        <w:rPr>
          <w:b/>
          <w:szCs w:val="26"/>
        </w:rPr>
        <w:t>ISSUE</w:t>
      </w:r>
      <w:r>
        <w:rPr>
          <w:b/>
          <w:szCs w:val="26"/>
        </w:rPr>
        <w:t>S</w:t>
      </w:r>
      <w:r w:rsidRPr="00B54538">
        <w:rPr>
          <w:b/>
          <w:szCs w:val="26"/>
        </w:rPr>
        <w:t>:</w:t>
      </w:r>
    </w:p>
    <w:p w:rsidR="001E0AC1" w:rsidRPr="00B54538" w:rsidRDefault="001E0AC1" w:rsidP="001E0AC1">
      <w:pPr>
        <w:pStyle w:val="Heading4"/>
        <w:numPr>
          <w:ilvl w:val="3"/>
          <w:numId w:val="21"/>
        </w:numPr>
        <w:spacing w:before="120" w:after="120"/>
        <w:rPr>
          <w:noProof/>
        </w:rPr>
      </w:pPr>
      <w:r w:rsidRPr="00310C67">
        <w:rPr>
          <w:noProof/>
        </w:rPr>
        <w:t>(a) Retrospectivity</w:t>
      </w:r>
    </w:p>
    <w:p w:rsidR="001E0AC1" w:rsidRPr="00310C67" w:rsidRDefault="001E0AC1" w:rsidP="001E0AC1">
      <w:pPr>
        <w:rPr>
          <w:noProof/>
          <w:szCs w:val="26"/>
        </w:rPr>
      </w:pPr>
      <w:r w:rsidRPr="00310C67">
        <w:rPr>
          <w:noProof/>
          <w:szCs w:val="26"/>
        </w:rPr>
        <w:t xml:space="preserve">Section 12(2) the </w:t>
      </w:r>
      <w:r w:rsidRPr="009B4985">
        <w:rPr>
          <w:i/>
          <w:noProof/>
          <w:szCs w:val="26"/>
        </w:rPr>
        <w:t>Legislative Instruments Act 2003</w:t>
      </w:r>
      <w:r w:rsidRPr="00310C67">
        <w:rPr>
          <w:noProof/>
          <w:szCs w:val="26"/>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w:t>
      </w:r>
      <w:r>
        <w:rPr>
          <w:noProof/>
          <w:szCs w:val="26"/>
        </w:rPr>
        <w:t xml:space="preserve"> </w:t>
      </w:r>
      <w:r w:rsidRPr="00310C67">
        <w:rPr>
          <w:noProof/>
          <w:szCs w:val="26"/>
        </w:rPr>
        <w:t>While this instrument commenced on the day after</w:t>
      </w:r>
      <w:r>
        <w:rPr>
          <w:noProof/>
          <w:szCs w:val="26"/>
        </w:rPr>
        <w:t xml:space="preserve"> its registration, its effect i</w:t>
      </w:r>
      <w:r w:rsidRPr="00310C67">
        <w:rPr>
          <w:noProof/>
          <w:szCs w:val="26"/>
        </w:rPr>
        <w:t>s to amend the principal instrument to give various provisions of the principal instrument effect from eit</w:t>
      </w:r>
      <w:r>
        <w:rPr>
          <w:noProof/>
          <w:szCs w:val="26"/>
        </w:rPr>
        <w:t xml:space="preserve">her 1 July 2008 or 25 June 2010. The committee will generally make inquiries to ensure that retrospective effects do not act to a person's disadvantage or detriment. </w:t>
      </w:r>
      <w:r w:rsidRPr="009B4985">
        <w:rPr>
          <w:b/>
          <w:noProof/>
          <w:szCs w:val="26"/>
        </w:rPr>
        <w:t>The committee will therefore seek further information from the minister</w:t>
      </w:r>
      <w:r w:rsidRPr="00310C67">
        <w:rPr>
          <w:noProof/>
          <w:szCs w:val="26"/>
        </w:rPr>
        <w:t>.</w:t>
      </w:r>
    </w:p>
    <w:p w:rsidR="001E0AC1" w:rsidRPr="00310C67" w:rsidRDefault="001E0AC1" w:rsidP="001E0AC1">
      <w:pPr>
        <w:pStyle w:val="Heading4"/>
        <w:numPr>
          <w:ilvl w:val="3"/>
          <w:numId w:val="21"/>
        </w:numPr>
        <w:spacing w:before="120" w:after="120"/>
        <w:rPr>
          <w:noProof/>
          <w:szCs w:val="26"/>
        </w:rPr>
      </w:pPr>
      <w:r w:rsidRPr="00310C67">
        <w:rPr>
          <w:noProof/>
        </w:rPr>
        <w:t>(b) Drafting</w:t>
      </w:r>
    </w:p>
    <w:p w:rsidR="001E0AC1" w:rsidRDefault="001E0AC1" w:rsidP="001E0AC1">
      <w:pPr>
        <w:rPr>
          <w:noProof/>
          <w:szCs w:val="26"/>
        </w:rPr>
      </w:pPr>
      <w:r w:rsidRPr="00310C67">
        <w:rPr>
          <w:noProof/>
          <w:szCs w:val="26"/>
        </w:rPr>
        <w:t xml:space="preserve">The footer to the instrument contains the </w:t>
      </w:r>
      <w:r>
        <w:rPr>
          <w:noProof/>
          <w:szCs w:val="26"/>
        </w:rPr>
        <w:t>words '</w:t>
      </w:r>
      <w:r w:rsidRPr="00310C67">
        <w:rPr>
          <w:noProof/>
          <w:szCs w:val="26"/>
        </w:rPr>
        <w:t>Draft 7</w:t>
      </w:r>
      <w:r>
        <w:rPr>
          <w:noProof/>
          <w:szCs w:val="26"/>
        </w:rPr>
        <w:t>'</w:t>
      </w:r>
      <w:r w:rsidRPr="00310C67">
        <w:rPr>
          <w:noProof/>
          <w:szCs w:val="26"/>
        </w:rPr>
        <w:t>.</w:t>
      </w:r>
      <w:r w:rsidRPr="00457181">
        <w:rPr>
          <w:noProof/>
          <w:szCs w:val="26"/>
        </w:rPr>
        <w:t xml:space="preserve"> </w:t>
      </w:r>
      <w:r>
        <w:rPr>
          <w:noProof/>
          <w:szCs w:val="26"/>
        </w:rPr>
        <w:t xml:space="preserve">In such cases, the committee generally inquires as to whether the version of the instrument it has received is in fact the final approved version. </w:t>
      </w:r>
      <w:r w:rsidRPr="009B4985">
        <w:rPr>
          <w:b/>
          <w:noProof/>
          <w:szCs w:val="26"/>
        </w:rPr>
        <w:t>The committee will therefore draw the issue to the minister's attention</w:t>
      </w:r>
      <w:r w:rsidRPr="00310C67">
        <w:rPr>
          <w:noProof/>
          <w:szCs w:val="26"/>
        </w:rPr>
        <w:t>.</w:t>
      </w:r>
    </w:p>
    <w:p w:rsidR="001E0AC1" w:rsidRDefault="001E0AC1" w:rsidP="001E0AC1">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Customs (Malaysian Rules of Origin) Regulation 2012 [Select Legislative Instrument 2012 No. 318]</w:t>
      </w:r>
      <w:r>
        <w:rPr>
          <w:noProof/>
        </w:rPr>
        <w:t xml:space="preserve"> </w:t>
      </w:r>
      <w:r w:rsidRPr="0063559F">
        <w:t>[F2012L02435]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Prescribes matters relating to the rules of origin that are required to be prescribed under Division 1H of the </w:t>
            </w:r>
            <w:r w:rsidRPr="005F5BED">
              <w:rPr>
                <w:rFonts w:ascii="Times New Roman" w:hAnsi="Times New Roman"/>
                <w:i/>
                <w:noProof/>
                <w:sz w:val="24"/>
                <w:szCs w:val="24"/>
              </w:rPr>
              <w:t>Customs Act 1901</w:t>
            </w:r>
            <w:r w:rsidRPr="00310C67">
              <w:rPr>
                <w:rFonts w:ascii="Times New Roman" w:hAnsi="Times New Roman"/>
                <w:noProof/>
                <w:sz w:val="24"/>
                <w:szCs w:val="24"/>
              </w:rPr>
              <w:t xml:space="preserve"> and which are required to fulfil, in part, Australia's obligations under Chapter 3 of the Malaysia-Australia Free </w:t>
            </w:r>
            <w:r>
              <w:rPr>
                <w:rFonts w:ascii="Times New Roman" w:hAnsi="Times New Roman"/>
                <w:noProof/>
                <w:sz w:val="24"/>
                <w:szCs w:val="24"/>
              </w:rPr>
              <w:t>Trade Agreement</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EA03A6" w:rsidRDefault="001E0AC1" w:rsidP="001E0AC1">
            <w:pPr>
              <w:pStyle w:val="letterheadbody"/>
              <w:spacing w:line="264" w:lineRule="auto"/>
              <w:ind w:left="0"/>
              <w:rPr>
                <w:rFonts w:ascii="Times New Roman" w:hAnsi="Times New Roman"/>
                <w:i/>
                <w:sz w:val="24"/>
                <w:szCs w:val="24"/>
              </w:rPr>
            </w:pPr>
            <w:r w:rsidRPr="00EA03A6">
              <w:rPr>
                <w:rFonts w:ascii="Times New Roman" w:hAnsi="Times New Roman"/>
                <w:i/>
                <w:noProof/>
                <w:sz w:val="24"/>
                <w:szCs w:val="24"/>
              </w:rPr>
              <w:t>Customs Act 1901</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Attorney-General's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w:t>
      </w:r>
      <w:r>
        <w:rPr>
          <w:noProof/>
        </w:rPr>
        <w:t>regarding</w:t>
      </w:r>
      <w:r w:rsidRPr="00310C67">
        <w:rPr>
          <w:noProof/>
        </w:rPr>
        <w:t xml:space="preserve"> consultation</w:t>
      </w:r>
    </w:p>
    <w:p w:rsidR="001E0AC1" w:rsidRPr="00310C67" w:rsidRDefault="001E0AC1" w:rsidP="001E0AC1">
      <w:pPr>
        <w:pStyle w:val="Level1"/>
        <w:numPr>
          <w:ilvl w:val="0"/>
          <w:numId w:val="0"/>
        </w:num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w:t>
      </w:r>
      <w:r>
        <w:rPr>
          <w:noProof/>
          <w:szCs w:val="26"/>
        </w:rPr>
        <w:t xml:space="preserve">for </w:t>
      </w:r>
      <w:r w:rsidRPr="00AE3138">
        <w:rPr>
          <w:noProof/>
          <w:szCs w:val="26"/>
        </w:rPr>
        <w:t xml:space="preserve">the </w:t>
      </w:r>
      <w:r>
        <w:rPr>
          <w:noProof/>
          <w:szCs w:val="26"/>
        </w:rPr>
        <w:t>instrument</w:t>
      </w:r>
      <w:r w:rsidRPr="00310C67">
        <w:rPr>
          <w:noProof/>
        </w:rPr>
        <w:t xml:space="preserve"> </w:t>
      </w:r>
      <w:r>
        <w:rPr>
          <w:noProof/>
        </w:rPr>
        <w:t>states</w:t>
      </w:r>
      <w:r w:rsidRPr="00310C67">
        <w:rPr>
          <w:noProof/>
        </w:rPr>
        <w:t>:</w:t>
      </w:r>
    </w:p>
    <w:p w:rsidR="001E0AC1" w:rsidRPr="00310C67" w:rsidRDefault="001E0AC1" w:rsidP="001E0AC1">
      <w:pPr>
        <w:pStyle w:val="Quote"/>
        <w:spacing w:after="120"/>
        <w:rPr>
          <w:noProof/>
        </w:rPr>
      </w:pPr>
      <w:r w:rsidRPr="00310C67">
        <w:rPr>
          <w:noProof/>
        </w:rPr>
        <w:t>No particular consultation was undertaken with regard to this regulation; however, consultation regarding the Malaysia-Australia Free Trade Agreement was undertaken as part of the Joi</w:t>
      </w:r>
      <w:r>
        <w:rPr>
          <w:noProof/>
        </w:rPr>
        <w:t>nt Standing Committee on Treaty'</w:t>
      </w:r>
      <w:r w:rsidRPr="00310C67">
        <w:rPr>
          <w:noProof/>
        </w:rPr>
        <w:t xml:space="preserve">s [sic] </w:t>
      </w:r>
      <w:r>
        <w:rPr>
          <w:noProof/>
        </w:rPr>
        <w:t>consideration of the Agreement.</w:t>
      </w:r>
    </w:p>
    <w:p w:rsidR="001E0AC1" w:rsidRDefault="001E0AC1" w:rsidP="001E0AC1">
      <w:pPr>
        <w:rPr>
          <w:noProof/>
          <w:szCs w:val="26"/>
        </w:rPr>
      </w:pP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instrument maker that consultation was 'unnecessary' or 'inappropriate' (as provided for by section 18).</w:t>
      </w:r>
      <w:r w:rsidRPr="00134E6B">
        <w:rPr>
          <w:b/>
          <w:noProof/>
          <w:szCs w:val="26"/>
        </w:rPr>
        <w:t xml:space="preserve"> The committee </w:t>
      </w:r>
      <w:r>
        <w:rPr>
          <w:b/>
          <w:noProof/>
          <w:szCs w:val="26"/>
        </w:rPr>
        <w:t xml:space="preserve">will therefore </w:t>
      </w:r>
      <w:r w:rsidRPr="00134E6B">
        <w:rPr>
          <w:b/>
          <w:noProof/>
          <w:szCs w:val="26"/>
        </w:rPr>
        <w:t>seek further information from the minister</w:t>
      </w:r>
      <w:r w:rsidRPr="00310C67">
        <w:rPr>
          <w:noProof/>
          <w:szCs w:val="26"/>
        </w:rPr>
        <w:t>.</w:t>
      </w:r>
    </w:p>
    <w:p w:rsidR="001E0AC1" w:rsidRDefault="001E0AC1" w:rsidP="001E0AC1">
      <w:pPr>
        <w:spacing w:after="0"/>
        <w:jc w:val="left"/>
        <w:rPr>
          <w:b/>
          <w:noProof/>
          <w:sz w:val="28"/>
        </w:rPr>
      </w:pPr>
      <w:r>
        <w:rPr>
          <w:noProof/>
        </w:rPr>
        <w:br w:type="page"/>
      </w:r>
    </w:p>
    <w:p w:rsidR="001E0AC1" w:rsidRPr="00310C67" w:rsidRDefault="001E0AC1" w:rsidP="001E0AC1">
      <w:pPr>
        <w:pStyle w:val="Heading3"/>
        <w:rPr>
          <w:noProof/>
        </w:rPr>
      </w:pPr>
      <w:r w:rsidRPr="00310C67">
        <w:rPr>
          <w:noProof/>
        </w:rPr>
        <w:lastRenderedPageBreak/>
        <w:t>Financial Sector (Collection of Data) (reporting standard) determination No. 11 of 2012 - ARS 117.0 - Repricing Analysis</w:t>
      </w:r>
      <w:r>
        <w:rPr>
          <w:noProof/>
        </w:rPr>
        <w:t xml:space="preserve"> </w:t>
      </w:r>
      <w:r w:rsidRPr="000E6FB5">
        <w:t>[F2012L02490]</w:t>
      </w:r>
      <w:r w:rsidRPr="00310C67">
        <w:rPr>
          <w:noProof/>
        </w:rPr>
        <w:t>; and</w:t>
      </w:r>
    </w:p>
    <w:p w:rsidR="001E0AC1" w:rsidRPr="00B54538" w:rsidRDefault="001E0AC1" w:rsidP="001E0AC1">
      <w:pPr>
        <w:pStyle w:val="Heading3"/>
      </w:pPr>
      <w:r w:rsidRPr="00310C67">
        <w:rPr>
          <w:noProof/>
        </w:rPr>
        <w:t>Financial Sector (Collection of Data) (reporting standard) determination No. 12 of 2012 - ARS 120.0 - Standardised Approach – Securitisation</w:t>
      </w:r>
      <w:r>
        <w:rPr>
          <w:noProof/>
        </w:rPr>
        <w:t xml:space="preserve"> </w:t>
      </w:r>
      <w:r w:rsidRPr="000E6FB5">
        <w:t>[F2012L02489]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The determinations specify certain prudential standards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EA03A6" w:rsidRDefault="001E0AC1" w:rsidP="001E0AC1">
            <w:pPr>
              <w:pStyle w:val="letterheadbody"/>
              <w:spacing w:line="264" w:lineRule="auto"/>
              <w:ind w:left="0"/>
              <w:rPr>
                <w:rFonts w:ascii="Times New Roman" w:hAnsi="Times New Roman"/>
                <w:i/>
                <w:sz w:val="24"/>
                <w:szCs w:val="24"/>
              </w:rPr>
            </w:pPr>
            <w:r w:rsidRPr="00EA03A6">
              <w:rPr>
                <w:rFonts w:ascii="Times New Roman" w:hAnsi="Times New Roman"/>
                <w:i/>
                <w:noProof/>
                <w:sz w:val="24"/>
                <w:szCs w:val="24"/>
              </w:rPr>
              <w:t>Financial Sector (Collection of Data) Act 2001</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Treasury</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Drafting</w:t>
      </w:r>
    </w:p>
    <w:p w:rsidR="001E0AC1" w:rsidRPr="00310C67" w:rsidRDefault="001E0AC1" w:rsidP="001E0AC1">
      <w:pPr>
        <w:rPr>
          <w:noProof/>
          <w:szCs w:val="26"/>
        </w:rPr>
      </w:pPr>
      <w:r w:rsidRPr="00310C67">
        <w:rPr>
          <w:noProof/>
          <w:szCs w:val="26"/>
        </w:rPr>
        <w:t xml:space="preserve">Paragraph 16 of the schedule to </w:t>
      </w:r>
      <w:r>
        <w:rPr>
          <w:noProof/>
          <w:szCs w:val="26"/>
        </w:rPr>
        <w:t xml:space="preserve">both </w:t>
      </w:r>
      <w:r w:rsidRPr="00310C67">
        <w:rPr>
          <w:noProof/>
          <w:szCs w:val="26"/>
        </w:rPr>
        <w:t>instruments sets out various definitions, including the following definition:</w:t>
      </w:r>
    </w:p>
    <w:p w:rsidR="001E0AC1" w:rsidRPr="00310C67" w:rsidRDefault="001E0AC1" w:rsidP="001E0AC1">
      <w:pPr>
        <w:pStyle w:val="Quote"/>
        <w:rPr>
          <w:noProof/>
        </w:rPr>
      </w:pPr>
      <w:r w:rsidRPr="00310C67">
        <w:rPr>
          <w:noProof/>
        </w:rPr>
        <w:t>branch of a foreign bank me</w:t>
      </w:r>
      <w:r>
        <w:rPr>
          <w:noProof/>
        </w:rPr>
        <w:t>ans a '</w:t>
      </w:r>
      <w:r w:rsidRPr="00310C67">
        <w:rPr>
          <w:noProof/>
        </w:rPr>
        <w:t>foreign ADI</w:t>
      </w:r>
      <w:r>
        <w:rPr>
          <w:noProof/>
        </w:rPr>
        <w:t>'</w:t>
      </w:r>
      <w:r w:rsidRPr="00310C67">
        <w:rPr>
          <w:noProof/>
        </w:rPr>
        <w:t xml:space="preserve"> as defined in the </w:t>
      </w:r>
      <w:r w:rsidRPr="001A3811">
        <w:rPr>
          <w:i/>
          <w:noProof/>
        </w:rPr>
        <w:t>Banking Act 1959</w:t>
      </w:r>
      <w:r w:rsidRPr="00310C67">
        <w:rPr>
          <w:noProof/>
        </w:rPr>
        <w:t>, but does not include an SCCI that is a foreign ADI.</w:t>
      </w:r>
    </w:p>
    <w:p w:rsidR="001E0AC1" w:rsidRDefault="001E0AC1" w:rsidP="001E0AC1">
      <w:pPr>
        <w:rPr>
          <w:noProof/>
          <w:szCs w:val="26"/>
        </w:rPr>
      </w:pPr>
      <w:r>
        <w:rPr>
          <w:noProof/>
          <w:szCs w:val="26"/>
        </w:rPr>
        <w:t>'</w:t>
      </w:r>
      <w:r w:rsidRPr="00310C67">
        <w:rPr>
          <w:noProof/>
          <w:szCs w:val="26"/>
        </w:rPr>
        <w:t>SCCI</w:t>
      </w:r>
      <w:r>
        <w:rPr>
          <w:noProof/>
          <w:szCs w:val="26"/>
        </w:rPr>
        <w:t>'</w:t>
      </w:r>
      <w:r w:rsidRPr="00310C67">
        <w:rPr>
          <w:noProof/>
          <w:szCs w:val="26"/>
        </w:rPr>
        <w:t xml:space="preserve"> is (in effect) defined in the table in paragraph 3 of the instruments </w:t>
      </w:r>
      <w:r>
        <w:rPr>
          <w:noProof/>
          <w:szCs w:val="26"/>
        </w:rPr>
        <w:t>(</w:t>
      </w:r>
      <w:r w:rsidRPr="00310C67">
        <w:rPr>
          <w:noProof/>
          <w:szCs w:val="26"/>
        </w:rPr>
        <w:t>Specialist Credit Card Institution</w:t>
      </w:r>
      <w:r>
        <w:rPr>
          <w:noProof/>
          <w:szCs w:val="26"/>
        </w:rPr>
        <w:t>)</w:t>
      </w:r>
      <w:r w:rsidRPr="00310C67">
        <w:rPr>
          <w:noProof/>
          <w:szCs w:val="26"/>
        </w:rPr>
        <w:t xml:space="preserve">. </w:t>
      </w:r>
      <w:r>
        <w:rPr>
          <w:noProof/>
          <w:szCs w:val="26"/>
        </w:rPr>
        <w:t xml:space="preserve">The committee considers that a </w:t>
      </w:r>
      <w:r w:rsidRPr="00310C67">
        <w:rPr>
          <w:noProof/>
          <w:szCs w:val="26"/>
        </w:rPr>
        <w:t xml:space="preserve">reader of the instrument </w:t>
      </w:r>
      <w:r>
        <w:rPr>
          <w:noProof/>
          <w:szCs w:val="26"/>
        </w:rPr>
        <w:t xml:space="preserve">would be assisted </w:t>
      </w:r>
      <w:r w:rsidRPr="00310C67">
        <w:rPr>
          <w:noProof/>
          <w:szCs w:val="26"/>
        </w:rPr>
        <w:t xml:space="preserve">if </w:t>
      </w:r>
      <w:r>
        <w:rPr>
          <w:noProof/>
          <w:szCs w:val="26"/>
        </w:rPr>
        <w:t>the acronym '</w:t>
      </w:r>
      <w:r w:rsidRPr="00310C67">
        <w:rPr>
          <w:noProof/>
          <w:szCs w:val="26"/>
        </w:rPr>
        <w:t>SCCI</w:t>
      </w:r>
      <w:r>
        <w:rPr>
          <w:noProof/>
          <w:szCs w:val="26"/>
        </w:rPr>
        <w:t>'</w:t>
      </w:r>
      <w:r w:rsidRPr="00310C67">
        <w:rPr>
          <w:noProof/>
          <w:szCs w:val="26"/>
        </w:rPr>
        <w:t xml:space="preserve"> was </w:t>
      </w:r>
      <w:r>
        <w:rPr>
          <w:noProof/>
          <w:szCs w:val="26"/>
        </w:rPr>
        <w:t xml:space="preserve">included </w:t>
      </w:r>
      <w:r w:rsidRPr="00310C67">
        <w:rPr>
          <w:noProof/>
          <w:szCs w:val="26"/>
        </w:rPr>
        <w:t xml:space="preserve">in the definitions paragraph </w:t>
      </w:r>
      <w:r>
        <w:rPr>
          <w:noProof/>
          <w:szCs w:val="26"/>
        </w:rPr>
        <w:t>(</w:t>
      </w:r>
      <w:r w:rsidRPr="00310C67">
        <w:rPr>
          <w:noProof/>
          <w:szCs w:val="26"/>
        </w:rPr>
        <w:t xml:space="preserve">as is </w:t>
      </w:r>
      <w:r>
        <w:rPr>
          <w:noProof/>
          <w:szCs w:val="26"/>
        </w:rPr>
        <w:t>'</w:t>
      </w:r>
      <w:r w:rsidRPr="00310C67">
        <w:rPr>
          <w:noProof/>
          <w:szCs w:val="26"/>
        </w:rPr>
        <w:t>ADI</w:t>
      </w:r>
      <w:r>
        <w:rPr>
          <w:noProof/>
          <w:szCs w:val="26"/>
        </w:rPr>
        <w:t>',</w:t>
      </w:r>
      <w:r w:rsidRPr="00310C67">
        <w:rPr>
          <w:noProof/>
          <w:szCs w:val="26"/>
        </w:rPr>
        <w:t xml:space="preserve"> for example). </w:t>
      </w:r>
      <w:r w:rsidRPr="0005499E">
        <w:rPr>
          <w:noProof/>
        </w:rPr>
        <w:t xml:space="preserve">The committee generally raises such matters on an advice-only basis in the interests of ensuring the highest quality of standards of drafting in legislative instruments in accordance with subsection 3(c) of the </w:t>
      </w:r>
      <w:r>
        <w:rPr>
          <w:i/>
          <w:noProof/>
        </w:rPr>
        <w:t>Legislative Instruments Act 2003</w:t>
      </w:r>
      <w:r w:rsidRPr="0005499E">
        <w:rPr>
          <w:noProof/>
        </w:rPr>
        <w:t xml:space="preserve">, which states that </w:t>
      </w:r>
      <w:r>
        <w:rPr>
          <w:noProof/>
        </w:rPr>
        <w:t xml:space="preserve">one of its </w:t>
      </w:r>
      <w:r w:rsidRPr="0005499E">
        <w:rPr>
          <w:noProof/>
        </w:rPr>
        <w:t>object</w:t>
      </w:r>
      <w:r>
        <w:rPr>
          <w:noProof/>
        </w:rPr>
        <w:t>s</w:t>
      </w:r>
      <w:r w:rsidRPr="0005499E">
        <w:rPr>
          <w:noProof/>
        </w:rPr>
        <w:t xml:space="preserve"> is 'encouraging high standards in the drafting of legislative instruments to promote their legal effectiveness, their clarity and their intelligibility to anticipated users'.</w:t>
      </w:r>
      <w:r>
        <w:rPr>
          <w:noProof/>
        </w:rPr>
        <w:t xml:space="preserve"> </w:t>
      </w:r>
      <w:r w:rsidRPr="001A3811">
        <w:rPr>
          <w:b/>
          <w:noProof/>
          <w:szCs w:val="26"/>
        </w:rPr>
        <w:t xml:space="preserve">The committee will therefore draw </w:t>
      </w:r>
      <w:r>
        <w:rPr>
          <w:b/>
          <w:noProof/>
          <w:szCs w:val="26"/>
        </w:rPr>
        <w:t xml:space="preserve">this issue to </w:t>
      </w:r>
      <w:r w:rsidRPr="001A3811">
        <w:rPr>
          <w:b/>
          <w:noProof/>
          <w:szCs w:val="26"/>
        </w:rPr>
        <w:t>the minister's attention</w:t>
      </w:r>
      <w:r>
        <w:rPr>
          <w:noProof/>
          <w:szCs w:val="26"/>
        </w:rPr>
        <w:t>.</w:t>
      </w:r>
    </w:p>
    <w:p w:rsidR="001E0AC1" w:rsidRDefault="001E0AC1" w:rsidP="001E0AC1">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Nuclear Non-Proliferation (Safeguards)</w:t>
      </w:r>
      <w:r>
        <w:rPr>
          <w:noProof/>
        </w:rPr>
        <w:t xml:space="preserve"> Amendment Regulation 2012 (No. </w:t>
      </w:r>
      <w:r w:rsidRPr="00310C67">
        <w:rPr>
          <w:noProof/>
        </w:rPr>
        <w:t>1) [Select Legislative Instrument 2012 No. 292]</w:t>
      </w:r>
      <w:r>
        <w:rPr>
          <w:noProof/>
        </w:rPr>
        <w:t xml:space="preserve"> </w:t>
      </w:r>
      <w:r w:rsidRPr="000E6FB5">
        <w:t>[F2012L02423]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Amends the Nuclear Non-Proliferation (Safeguards) Regulations 1987 to update the list of prescribed international agreements in accordance with which powers under the </w:t>
            </w:r>
            <w:r w:rsidRPr="0078038F">
              <w:rPr>
                <w:rFonts w:ascii="Times New Roman" w:hAnsi="Times New Roman"/>
                <w:i/>
                <w:noProof/>
                <w:sz w:val="24"/>
                <w:szCs w:val="24"/>
              </w:rPr>
              <w:t>Nuclear Non-Proliferation (Safeguards) Act 1987</w:t>
            </w:r>
            <w:r w:rsidRPr="00310C67">
              <w:rPr>
                <w:rFonts w:ascii="Times New Roman" w:hAnsi="Times New Roman"/>
                <w:noProof/>
                <w:sz w:val="24"/>
                <w:szCs w:val="24"/>
              </w:rPr>
              <w:t xml:space="preserve"> are to be exercised</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A4745B" w:rsidRDefault="001E0AC1" w:rsidP="001E0AC1">
            <w:pPr>
              <w:pStyle w:val="letterheadbody"/>
              <w:spacing w:line="264" w:lineRule="auto"/>
              <w:ind w:left="0"/>
              <w:rPr>
                <w:rFonts w:ascii="Times New Roman" w:hAnsi="Times New Roman"/>
                <w:i/>
                <w:sz w:val="24"/>
                <w:szCs w:val="24"/>
              </w:rPr>
            </w:pPr>
            <w:r w:rsidRPr="00A4745B">
              <w:rPr>
                <w:rFonts w:ascii="Times New Roman" w:hAnsi="Times New Roman"/>
                <w:i/>
                <w:noProof/>
                <w:sz w:val="24"/>
                <w:szCs w:val="24"/>
              </w:rPr>
              <w:t>Nuclear Non-Proliferation (Safeguards) Act 1987</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Foreign Affairs and Trade</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No explanation provided </w:t>
      </w:r>
      <w:r>
        <w:rPr>
          <w:noProof/>
        </w:rPr>
        <w:t xml:space="preserve">regarding </w:t>
      </w:r>
      <w:r w:rsidRPr="00310C67">
        <w:rPr>
          <w:noProof/>
        </w:rPr>
        <w:t>consultation</w:t>
      </w:r>
    </w:p>
    <w:p w:rsidR="001E0AC1" w:rsidRDefault="001E0AC1" w:rsidP="001E0AC1">
      <w:pPr>
        <w:rPr>
          <w:noProof/>
          <w:szCs w:val="26"/>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AE3138">
        <w:rPr>
          <w:noProof/>
          <w:szCs w:val="26"/>
        </w:rPr>
        <w:t>26).</w:t>
      </w:r>
      <w:r>
        <w:rPr>
          <w:noProof/>
          <w:szCs w:val="26"/>
        </w:rPr>
        <w:t xml:space="preserve"> </w:t>
      </w:r>
      <w:r w:rsidRPr="00AE3138">
        <w:rPr>
          <w:noProof/>
          <w:szCs w:val="26"/>
        </w:rPr>
        <w:t xml:space="preserve">With reference to these requirements, the committee notes that the ES </w:t>
      </w:r>
      <w:r>
        <w:rPr>
          <w:noProof/>
          <w:szCs w:val="26"/>
        </w:rPr>
        <w:t xml:space="preserve">for </w:t>
      </w:r>
      <w:r w:rsidRPr="00AE3138">
        <w:rPr>
          <w:noProof/>
          <w:szCs w:val="26"/>
        </w:rPr>
        <w:t xml:space="preserve">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 the ES be updated in accordance with the requirements of the </w:t>
      </w:r>
      <w:r w:rsidRPr="00E2599D">
        <w:rPr>
          <w:b/>
          <w:i/>
          <w:noProof/>
        </w:rPr>
        <w:t>Legislative Instruments Act 2003</w:t>
      </w:r>
      <w:r>
        <w:rPr>
          <w:noProof/>
        </w:rPr>
        <w:t>.</w:t>
      </w:r>
    </w:p>
    <w:p w:rsidR="001E0AC1" w:rsidRPr="00B54538" w:rsidRDefault="001E0AC1" w:rsidP="009F02ED">
      <w:pPr>
        <w:pStyle w:val="Heading3"/>
        <w:spacing w:before="240"/>
      </w:pPr>
      <w:r w:rsidRPr="00310C67">
        <w:rPr>
          <w:noProof/>
        </w:rPr>
        <w:t>Work Health and Safety Act 2011 (application to Defence activities and Defence members) Declaration 2012</w:t>
      </w:r>
      <w:r>
        <w:rPr>
          <w:noProof/>
        </w:rPr>
        <w:t xml:space="preserve"> </w:t>
      </w:r>
      <w:r w:rsidRPr="000E6FB5">
        <w:t>[F2012L02503]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Declares that specified provisions of the </w:t>
            </w:r>
            <w:r w:rsidRPr="00982703">
              <w:rPr>
                <w:rFonts w:ascii="Times New Roman" w:hAnsi="Times New Roman"/>
                <w:i/>
                <w:noProof/>
                <w:sz w:val="24"/>
                <w:szCs w:val="24"/>
              </w:rPr>
              <w:t>Work Health and Safety Act 2011</w:t>
            </w:r>
            <w:r w:rsidRPr="00310C67">
              <w:rPr>
                <w:rFonts w:ascii="Times New Roman" w:hAnsi="Times New Roman"/>
                <w:noProof/>
                <w:sz w:val="24"/>
                <w:szCs w:val="24"/>
              </w:rPr>
              <w:t xml:space="preserve"> do not apply, or apply subject to such modifications and adaptations as are set out in th</w:t>
            </w:r>
            <w:r>
              <w:rPr>
                <w:rFonts w:ascii="Times New Roman" w:hAnsi="Times New Roman"/>
                <w:noProof/>
                <w:sz w:val="24"/>
                <w:szCs w:val="24"/>
              </w:rPr>
              <w:t>e</w:t>
            </w:r>
            <w:r w:rsidRPr="00310C67">
              <w:rPr>
                <w:rFonts w:ascii="Times New Roman" w:hAnsi="Times New Roman"/>
                <w:noProof/>
                <w:sz w:val="24"/>
                <w:szCs w:val="24"/>
              </w:rPr>
              <w:t xml:space="preserve"> declaration, in relation to specified Defence activities and A</w:t>
            </w:r>
            <w:r>
              <w:rPr>
                <w:rFonts w:ascii="Times New Roman" w:hAnsi="Times New Roman"/>
                <w:noProof/>
                <w:sz w:val="24"/>
                <w:szCs w:val="24"/>
              </w:rPr>
              <w:t>ustralian Defence Force members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982703" w:rsidRDefault="001E0AC1" w:rsidP="001E0AC1">
            <w:pPr>
              <w:pStyle w:val="letterheadbody"/>
              <w:spacing w:line="264" w:lineRule="auto"/>
              <w:ind w:left="0"/>
              <w:rPr>
                <w:rFonts w:ascii="Times New Roman" w:hAnsi="Times New Roman"/>
                <w:i/>
                <w:sz w:val="24"/>
                <w:szCs w:val="24"/>
              </w:rPr>
            </w:pPr>
            <w:r w:rsidRPr="00982703">
              <w:rPr>
                <w:rFonts w:ascii="Times New Roman" w:hAnsi="Times New Roman"/>
                <w:i/>
                <w:noProof/>
                <w:sz w:val="24"/>
                <w:szCs w:val="24"/>
              </w:rPr>
              <w:t>Work Health and Safety Act 2011</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Education, Employment and Workplace Relations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Trespass on personal rights</w:t>
      </w:r>
    </w:p>
    <w:p w:rsidR="001E0AC1" w:rsidRDefault="001E0AC1" w:rsidP="001E0AC1">
      <w:pPr>
        <w:rPr>
          <w:b/>
          <w:noProof/>
          <w:szCs w:val="26"/>
        </w:rPr>
      </w:pPr>
      <w:r w:rsidRPr="00310C67">
        <w:rPr>
          <w:noProof/>
          <w:szCs w:val="26"/>
        </w:rPr>
        <w:t>Th</w:t>
      </w:r>
      <w:r>
        <w:rPr>
          <w:noProof/>
          <w:szCs w:val="26"/>
        </w:rPr>
        <w:t>e</w:t>
      </w:r>
      <w:r w:rsidRPr="00310C67">
        <w:rPr>
          <w:noProof/>
          <w:szCs w:val="26"/>
        </w:rPr>
        <w:t xml:space="preserve"> instrument is made under subsection 12D(2) of the </w:t>
      </w:r>
      <w:r w:rsidRPr="00982703">
        <w:rPr>
          <w:i/>
          <w:noProof/>
          <w:szCs w:val="26"/>
        </w:rPr>
        <w:t>Work Health and Safety Act 2011</w:t>
      </w:r>
      <w:r w:rsidRPr="00310C67">
        <w:rPr>
          <w:noProof/>
          <w:szCs w:val="26"/>
        </w:rPr>
        <w:t>, which allows the Chief of the Defence Force to disapply</w:t>
      </w:r>
      <w:r>
        <w:rPr>
          <w:noProof/>
          <w:szCs w:val="26"/>
        </w:rPr>
        <w:t xml:space="preserve">, </w:t>
      </w:r>
      <w:r w:rsidRPr="00310C67">
        <w:rPr>
          <w:noProof/>
          <w:szCs w:val="26"/>
        </w:rPr>
        <w:t>or to apply with modification</w:t>
      </w:r>
      <w:r>
        <w:rPr>
          <w:noProof/>
          <w:szCs w:val="26"/>
        </w:rPr>
        <w:t>s,</w:t>
      </w:r>
      <w:r w:rsidRPr="00310C67">
        <w:rPr>
          <w:noProof/>
          <w:szCs w:val="26"/>
        </w:rPr>
        <w:t xml:space="preserve"> provisions of the </w:t>
      </w:r>
      <w:r w:rsidRPr="00982703">
        <w:rPr>
          <w:i/>
          <w:noProof/>
          <w:szCs w:val="26"/>
        </w:rPr>
        <w:t>Work Health and Safety Act 2011</w:t>
      </w:r>
      <w:r>
        <w:rPr>
          <w:noProof/>
          <w:szCs w:val="26"/>
        </w:rPr>
        <w:t xml:space="preserve"> </w:t>
      </w:r>
      <w:r w:rsidRPr="00982703">
        <w:rPr>
          <w:noProof/>
          <w:szCs w:val="26"/>
        </w:rPr>
        <w:t>to</w:t>
      </w:r>
      <w:r w:rsidRPr="00310C67">
        <w:rPr>
          <w:noProof/>
          <w:szCs w:val="26"/>
        </w:rPr>
        <w:t xml:space="preserve"> the Defence Forces. The purpose of the provision is to ensure that the requirements of the </w:t>
      </w:r>
      <w:r w:rsidRPr="00982703">
        <w:rPr>
          <w:i/>
          <w:noProof/>
          <w:szCs w:val="26"/>
        </w:rPr>
        <w:t>Work Health and Safety Act 2011</w:t>
      </w:r>
      <w:r>
        <w:rPr>
          <w:noProof/>
          <w:szCs w:val="26"/>
        </w:rPr>
        <w:t xml:space="preserve"> </w:t>
      </w:r>
      <w:r w:rsidRPr="00310C67">
        <w:rPr>
          <w:noProof/>
          <w:szCs w:val="26"/>
        </w:rPr>
        <w:t>are not prejudicial to Australia</w:t>
      </w:r>
      <w:r>
        <w:rPr>
          <w:noProof/>
          <w:szCs w:val="26"/>
        </w:rPr>
        <w:t>'</w:t>
      </w:r>
      <w:r w:rsidRPr="00310C67">
        <w:rPr>
          <w:noProof/>
          <w:szCs w:val="26"/>
        </w:rPr>
        <w:t xml:space="preserve">s defence, and the Chief of the Defence Force is required to take into account the need to promote the objects of </w:t>
      </w:r>
      <w:r w:rsidRPr="00310C67">
        <w:rPr>
          <w:noProof/>
          <w:szCs w:val="26"/>
        </w:rPr>
        <w:lastRenderedPageBreak/>
        <w:t>that Act to the greatest extent consistent wi</w:t>
      </w:r>
      <w:r>
        <w:rPr>
          <w:noProof/>
          <w:szCs w:val="26"/>
        </w:rPr>
        <w:t>th the maintenance of Australia'</w:t>
      </w:r>
      <w:r w:rsidRPr="00310C67">
        <w:rPr>
          <w:noProof/>
          <w:szCs w:val="26"/>
        </w:rPr>
        <w:t>s defence.</w:t>
      </w:r>
      <w:r>
        <w:rPr>
          <w:noProof/>
          <w:szCs w:val="26"/>
        </w:rPr>
        <w:t xml:space="preserve"> The ES to the instrument provides a justification for </w:t>
      </w:r>
      <w:r w:rsidRPr="00310C67">
        <w:rPr>
          <w:noProof/>
          <w:szCs w:val="26"/>
        </w:rPr>
        <w:t>this limitation of rights</w:t>
      </w:r>
      <w:r>
        <w:rPr>
          <w:noProof/>
          <w:szCs w:val="26"/>
        </w:rPr>
        <w:t xml:space="preserve">, noting that this is a necessary and proportionate means to achieve the operational and organisational objectives of the military service and the Government's defence policy. Further, the ES notes that Defence maintains a </w:t>
      </w:r>
      <w:r w:rsidRPr="00310C67">
        <w:rPr>
          <w:noProof/>
          <w:szCs w:val="26"/>
        </w:rPr>
        <w:t>Defence Safety Management System</w:t>
      </w:r>
      <w:r>
        <w:rPr>
          <w:noProof/>
          <w:szCs w:val="26"/>
        </w:rPr>
        <w:t xml:space="preserve">, which seeks to provide </w:t>
      </w:r>
      <w:r w:rsidRPr="00310C67">
        <w:rPr>
          <w:noProof/>
          <w:szCs w:val="26"/>
        </w:rPr>
        <w:t xml:space="preserve">all Defence workers </w:t>
      </w:r>
      <w:r>
        <w:rPr>
          <w:noProof/>
          <w:szCs w:val="26"/>
        </w:rPr>
        <w:t xml:space="preserve">with </w:t>
      </w:r>
      <w:r w:rsidRPr="00310C67">
        <w:rPr>
          <w:noProof/>
          <w:szCs w:val="26"/>
        </w:rPr>
        <w:t xml:space="preserve">the highest level of </w:t>
      </w:r>
      <w:r>
        <w:rPr>
          <w:noProof/>
          <w:szCs w:val="26"/>
        </w:rPr>
        <w:t>(</w:t>
      </w:r>
      <w:r w:rsidRPr="00310C67">
        <w:rPr>
          <w:noProof/>
          <w:szCs w:val="26"/>
        </w:rPr>
        <w:t>reasonably practicable</w:t>
      </w:r>
      <w:r>
        <w:rPr>
          <w:noProof/>
          <w:szCs w:val="26"/>
        </w:rPr>
        <w:t xml:space="preserve">) </w:t>
      </w:r>
      <w:r w:rsidRPr="00310C67">
        <w:rPr>
          <w:noProof/>
          <w:szCs w:val="26"/>
        </w:rPr>
        <w:t>protection against harm to their health, safety and welfare from hazards and risks arising at work</w:t>
      </w:r>
      <w:r>
        <w:rPr>
          <w:noProof/>
          <w:szCs w:val="26"/>
        </w:rPr>
        <w:t xml:space="preserve">. </w:t>
      </w:r>
      <w:r w:rsidRPr="00BC48FF">
        <w:rPr>
          <w:b/>
          <w:noProof/>
          <w:szCs w:val="26"/>
        </w:rPr>
        <w:t xml:space="preserve">In light of the justification provided, the committee draws the attention of the Senate to the </w:t>
      </w:r>
      <w:r>
        <w:rPr>
          <w:b/>
          <w:noProof/>
          <w:szCs w:val="26"/>
        </w:rPr>
        <w:t>effect of the instrument on personal rights</w:t>
      </w:r>
      <w:r w:rsidRPr="00BC48FF">
        <w:rPr>
          <w:b/>
          <w:noProof/>
          <w:szCs w:val="26"/>
        </w:rPr>
        <w:t>, and makes no further comment.</w:t>
      </w:r>
    </w:p>
    <w:p w:rsidR="001E0AC1" w:rsidRPr="00310C67" w:rsidRDefault="001E0AC1" w:rsidP="009F02ED">
      <w:pPr>
        <w:pStyle w:val="Heading3"/>
        <w:spacing w:before="480"/>
        <w:rPr>
          <w:noProof/>
        </w:rPr>
      </w:pPr>
      <w:r w:rsidRPr="00310C67">
        <w:rPr>
          <w:noProof/>
        </w:rPr>
        <w:t>CASA EX193/12 - Exemption - operations by paragliders in the Corryong Open and hang-gliders in the Corryong Cup</w:t>
      </w:r>
      <w:r>
        <w:rPr>
          <w:noProof/>
        </w:rPr>
        <w:t xml:space="preserve"> </w:t>
      </w:r>
      <w:r w:rsidRPr="000E6FB5">
        <w:t>[F2012L02520]</w:t>
      </w:r>
      <w:r w:rsidRPr="00310C67">
        <w:rPr>
          <w:noProof/>
        </w:rPr>
        <w:t>; and</w:t>
      </w:r>
    </w:p>
    <w:p w:rsidR="001E0AC1" w:rsidRPr="00B54538" w:rsidRDefault="001E0AC1" w:rsidP="009F02ED">
      <w:pPr>
        <w:pStyle w:val="Heading3"/>
      </w:pPr>
      <w:r w:rsidRPr="00310C67">
        <w:rPr>
          <w:noProof/>
        </w:rPr>
        <w:t>CASA EX194/12 - Exemption - operations by hang-gliders in the Forbes Flatlands Hang Gliding Championships 2012-2013</w:t>
      </w:r>
      <w:r>
        <w:rPr>
          <w:noProof/>
        </w:rPr>
        <w:t xml:space="preserve"> </w:t>
      </w:r>
      <w:r w:rsidRPr="000E6FB5">
        <w:t>[F2012L02527]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Allows activities associated with the Corryong Paragliding Open and the Corryong Hang Gliding Cup to take place; and enables participants in the Forbes Flatlands Hang Gliding Championshi</w:t>
            </w:r>
            <w:r>
              <w:rPr>
                <w:rFonts w:ascii="Times New Roman" w:hAnsi="Times New Roman"/>
                <w:noProof/>
                <w:sz w:val="24"/>
                <w:szCs w:val="24"/>
              </w:rPr>
              <w:t>ps 2012-</w:t>
            </w:r>
            <w:r w:rsidRPr="00310C67">
              <w:rPr>
                <w:rFonts w:ascii="Times New Roman" w:hAnsi="Times New Roman"/>
                <w:noProof/>
                <w:sz w:val="24"/>
                <w:szCs w:val="24"/>
              </w:rPr>
              <w:t>13 to fly a hang-glider without the aircraft ca</w:t>
            </w:r>
            <w:r>
              <w:rPr>
                <w:rFonts w:ascii="Times New Roman" w:hAnsi="Times New Roman"/>
                <w:noProof/>
                <w:sz w:val="24"/>
                <w:szCs w:val="24"/>
              </w:rPr>
              <w:t>rrying a serviceable aircraft V</w:t>
            </w:r>
            <w:r w:rsidRPr="00310C67">
              <w:rPr>
                <w:rFonts w:ascii="Times New Roman" w:hAnsi="Times New Roman"/>
                <w:noProof/>
                <w:sz w:val="24"/>
                <w:szCs w:val="24"/>
              </w:rPr>
              <w:t>HF radio and without the pilot having</w:t>
            </w:r>
            <w:r>
              <w:rPr>
                <w:rFonts w:ascii="Times New Roman" w:hAnsi="Times New Roman"/>
                <w:noProof/>
                <w:sz w:val="24"/>
                <w:szCs w:val="24"/>
              </w:rPr>
              <w:t xml:space="preserve"> a radiotelephone qualification</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Default="001E0AC1" w:rsidP="001E0AC1">
      <w:pPr>
        <w:pStyle w:val="Level1"/>
        <w:numPr>
          <w:ilvl w:val="0"/>
          <w:numId w:val="0"/>
        </w:numPr>
        <w:rPr>
          <w:noProof/>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ESs </w:t>
      </w:r>
      <w:r>
        <w:rPr>
          <w:noProof/>
          <w:szCs w:val="26"/>
        </w:rPr>
        <w:t xml:space="preserve">for </w:t>
      </w:r>
      <w:r w:rsidRPr="00E2599D">
        <w:rPr>
          <w:noProof/>
          <w:szCs w:val="26"/>
        </w:rPr>
        <w:t>the instruments state only that 'CASA has consulted with The Hang Gliding Federation of Australia Incorporated and the organisers of the events [or 'Championship organisers' in the latter instrument]. The terms of the exemption have been agreed'.</w:t>
      </w:r>
      <w:r>
        <w:rPr>
          <w:noProof/>
          <w:szCs w:val="26"/>
        </w:rPr>
        <w:t xml:space="preserve"> </w:t>
      </w:r>
      <w:r w:rsidRPr="00E2599D">
        <w:rPr>
          <w:noProof/>
          <w:szCs w:val="26"/>
        </w:rPr>
        <w:t xml:space="preserve">In the committee's view, these descriptions of consultation could be more properly characterised as descriptions of a process of application for and approval of the exemptions. If this view were accepted, it could not be said that consultation had taken place in the sense prescribed or envisaged by the </w:t>
      </w:r>
      <w:r w:rsidRPr="00AE3138">
        <w:rPr>
          <w:i/>
          <w:noProof/>
          <w:szCs w:val="26"/>
        </w:rPr>
        <w:t>Legislative Instruments Act 2003</w:t>
      </w:r>
      <w:r w:rsidRPr="00E2599D">
        <w:rPr>
          <w:noProof/>
          <w:szCs w:val="26"/>
        </w:rPr>
        <w:t xml:space="preserve">, and the ES to these instruments should contain instead an </w:t>
      </w:r>
      <w:r w:rsidRPr="00E2599D">
        <w:rPr>
          <w:noProof/>
          <w:szCs w:val="26"/>
        </w:rPr>
        <w:lastRenderedPageBreak/>
        <w:t>explanation as to why consultation was considered unnecessary or inappropriate in the two cases.</w:t>
      </w:r>
      <w:r>
        <w:rPr>
          <w:noProof/>
          <w:szCs w:val="26"/>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w:t>
      </w:r>
      <w:r>
        <w:rPr>
          <w:b/>
          <w:noProof/>
        </w:rPr>
        <w:t>, if appropriate,</w:t>
      </w:r>
      <w:r w:rsidRPr="00940F8E">
        <w:rPr>
          <w:b/>
          <w:noProof/>
        </w:rPr>
        <w:t xml:space="preserve"> the ES</w:t>
      </w:r>
      <w:r>
        <w:rPr>
          <w:b/>
          <w:noProof/>
        </w:rPr>
        <w:t>s</w:t>
      </w:r>
      <w:r w:rsidRPr="00940F8E">
        <w:rPr>
          <w:b/>
          <w:noProof/>
        </w:rPr>
        <w:t xml:space="preserve"> be updated in accordance with the requirements of the </w:t>
      </w:r>
      <w:r w:rsidRPr="00E2599D">
        <w:rPr>
          <w:b/>
          <w:i/>
          <w:noProof/>
        </w:rPr>
        <w:t>Legislative Instruments Act 2003</w:t>
      </w:r>
      <w:r>
        <w:rPr>
          <w:noProof/>
        </w:rPr>
        <w:t>.</w:t>
      </w:r>
    </w:p>
    <w:p w:rsidR="001E0AC1" w:rsidRDefault="001E0AC1" w:rsidP="001E0AC1">
      <w:pPr>
        <w:spacing w:after="0"/>
        <w:jc w:val="left"/>
        <w:rPr>
          <w:b/>
          <w:noProof/>
          <w:sz w:val="28"/>
        </w:rPr>
      </w:pPr>
    </w:p>
    <w:p w:rsidR="001E0AC1" w:rsidRPr="00B54538" w:rsidRDefault="001E0AC1" w:rsidP="001E0AC1">
      <w:pPr>
        <w:pStyle w:val="Heading3"/>
      </w:pPr>
      <w:r w:rsidRPr="00310C67">
        <w:rPr>
          <w:noProof/>
        </w:rPr>
        <w:t>Civil Aviation Order 20.18 Amendment Instrument 2012 (No. 2)</w:t>
      </w:r>
      <w:r>
        <w:rPr>
          <w:noProof/>
        </w:rPr>
        <w:t xml:space="preserve"> </w:t>
      </w:r>
      <w:r>
        <w:t>[F2012L02556]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Amends the Civil Aviation Order 20.18 - Aircraft equipment - Basic operational requirements (02/12/2004)</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Regulations 1988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Default="001E0AC1" w:rsidP="001E0AC1">
      <w:pPr>
        <w:pStyle w:val="Level1"/>
        <w:numPr>
          <w:ilvl w:val="0"/>
          <w:numId w:val="0"/>
        </w:numPr>
        <w:rPr>
          <w:noProof/>
          <w:szCs w:val="26"/>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E2599D">
        <w:rPr>
          <w:noProof/>
          <w:szCs w:val="26"/>
        </w:rPr>
        <w:t xml:space="preserve"> only </w:t>
      </w:r>
      <w:r>
        <w:rPr>
          <w:noProof/>
          <w:szCs w:val="26"/>
        </w:rPr>
        <w:t xml:space="preserve">that </w:t>
      </w:r>
      <w:r w:rsidRPr="00310C67">
        <w:rPr>
          <w:noProof/>
        </w:rPr>
        <w:t xml:space="preserve">consultation was undertaken through discussions with the 'relevant industry sectors'. The committee </w:t>
      </w:r>
      <w:r>
        <w:rPr>
          <w:noProof/>
        </w:rPr>
        <w:t xml:space="preserve">generally </w:t>
      </w:r>
      <w:r w:rsidRPr="00310C67">
        <w:rPr>
          <w:noProof/>
        </w:rPr>
        <w:t>take</w:t>
      </w:r>
      <w:r>
        <w:rPr>
          <w:noProof/>
        </w:rPr>
        <w:t>s</w:t>
      </w:r>
      <w:r w:rsidRPr="00310C67">
        <w:rPr>
          <w:noProof/>
        </w:rPr>
        <w:t xml:space="preserve"> the view that overly bare or general descriptions</w:t>
      </w:r>
      <w:r>
        <w:rPr>
          <w:noProof/>
        </w:rPr>
        <w:t>,</w:t>
      </w:r>
      <w:r w:rsidRPr="00310C67">
        <w:rPr>
          <w:noProof/>
        </w:rPr>
        <w:t xml:space="preserve"> such as this</w:t>
      </w:r>
      <w:r>
        <w:rPr>
          <w:noProof/>
        </w:rPr>
        <w:t>,</w:t>
      </w:r>
      <w:r w:rsidRPr="00310C67">
        <w:rPr>
          <w:noProof/>
        </w:rPr>
        <w:t xml:space="preserve"> are not adequate to satisfy the requirement that an </w:t>
      </w:r>
      <w:r>
        <w:rPr>
          <w:noProof/>
        </w:rPr>
        <w:t xml:space="preserve">ES </w:t>
      </w:r>
      <w:r w:rsidRPr="00310C67">
        <w:rPr>
          <w:noProof/>
        </w:rPr>
        <w:t>describe the nature of the consultation undertaken.</w:t>
      </w:r>
      <w:r w:rsidRPr="00B22663">
        <w:rPr>
          <w:b/>
          <w:noProof/>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w:t>
      </w:r>
      <w:r>
        <w:rPr>
          <w:b/>
          <w:noProof/>
        </w:rPr>
        <w:t xml:space="preserve"> </w:t>
      </w:r>
      <w:r w:rsidRPr="00940F8E">
        <w:rPr>
          <w:b/>
          <w:noProof/>
        </w:rPr>
        <w:t xml:space="preserve">the ES be updated in accordance with the requirements of the </w:t>
      </w:r>
      <w:r w:rsidRPr="00E2599D">
        <w:rPr>
          <w:b/>
          <w:i/>
          <w:noProof/>
        </w:rPr>
        <w:t>Legislative Instruments Act 2003</w:t>
      </w:r>
      <w:r>
        <w:rPr>
          <w:noProof/>
        </w:rPr>
        <w:t>.</w:t>
      </w:r>
    </w:p>
    <w:p w:rsidR="001E0AC1" w:rsidRDefault="001E0AC1" w:rsidP="001E0AC1">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Fair Entitlements Guarantee Regulation 2012 [Select Legis</w:t>
      </w:r>
      <w:r>
        <w:rPr>
          <w:noProof/>
        </w:rPr>
        <w:t xml:space="preserve">lative Instrument 2012 No. 326] </w:t>
      </w:r>
      <w:r>
        <w:t>[F2012L02474]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Builds upon the scheme created by the </w:t>
            </w:r>
            <w:r w:rsidRPr="0052319D">
              <w:rPr>
                <w:rFonts w:ascii="Times New Roman" w:hAnsi="Times New Roman"/>
                <w:i/>
                <w:noProof/>
                <w:sz w:val="24"/>
                <w:szCs w:val="24"/>
              </w:rPr>
              <w:t>Fair Entitlements Guarantee Act 2012</w:t>
            </w:r>
            <w:r w:rsidRPr="00310C67">
              <w:rPr>
                <w:rFonts w:ascii="Times New Roman" w:hAnsi="Times New Roman"/>
                <w:noProof/>
                <w:sz w:val="24"/>
                <w:szCs w:val="24"/>
              </w:rPr>
              <w:t xml:space="preserve"> to create a scheme to allow for financial assistance to be advanced to contract outworkers in the textile, clothing and footwear in</w:t>
            </w:r>
            <w:r>
              <w:rPr>
                <w:rFonts w:ascii="Times New Roman" w:hAnsi="Times New Roman"/>
                <w:noProof/>
                <w:sz w:val="24"/>
                <w:szCs w:val="24"/>
              </w:rPr>
              <w:t>dustry in certain circumstances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B22663" w:rsidRDefault="001E0AC1" w:rsidP="001E0AC1">
            <w:pPr>
              <w:pStyle w:val="letterheadbody"/>
              <w:spacing w:line="264" w:lineRule="auto"/>
              <w:ind w:left="0"/>
              <w:rPr>
                <w:rFonts w:ascii="Times New Roman" w:hAnsi="Times New Roman"/>
                <w:i/>
                <w:sz w:val="24"/>
                <w:szCs w:val="24"/>
              </w:rPr>
            </w:pPr>
            <w:r w:rsidRPr="00B22663">
              <w:rPr>
                <w:rFonts w:ascii="Times New Roman" w:hAnsi="Times New Roman"/>
                <w:i/>
                <w:noProof/>
                <w:sz w:val="24"/>
                <w:szCs w:val="24"/>
              </w:rPr>
              <w:t>Fair Entitlements Guarantee Act 2012</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Education, Employment and Workplace Relations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Insufficient explanation provided in relation to consultation</w:t>
      </w:r>
    </w:p>
    <w:p w:rsidR="001E0AC1" w:rsidRPr="00310C67" w:rsidRDefault="001E0AC1" w:rsidP="001E0AC1">
      <w:pPr>
        <w:pStyle w:val="Level1"/>
        <w:numPr>
          <w:ilvl w:val="0"/>
          <w:numId w:val="0"/>
        </w:numPr>
        <w:rPr>
          <w:noProof/>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E2599D">
        <w:rPr>
          <w:noProof/>
          <w:szCs w:val="26"/>
        </w:rPr>
        <w:t xml:space="preserve"> only </w:t>
      </w:r>
      <w:r w:rsidRPr="00310C67">
        <w:rPr>
          <w:noProof/>
        </w:rPr>
        <w:t xml:space="preserve">that representatives from 'employer and employee groups were consulted in relation to this regulation'. The committee </w:t>
      </w:r>
      <w:r>
        <w:rPr>
          <w:noProof/>
        </w:rPr>
        <w:t xml:space="preserve">generally </w:t>
      </w:r>
      <w:r w:rsidRPr="00310C67">
        <w:rPr>
          <w:noProof/>
        </w:rPr>
        <w:t>take</w:t>
      </w:r>
      <w:r>
        <w:rPr>
          <w:noProof/>
        </w:rPr>
        <w:t>s</w:t>
      </w:r>
      <w:r w:rsidRPr="00310C67">
        <w:rPr>
          <w:noProof/>
        </w:rPr>
        <w:t xml:space="preserve"> the view that overly bare or general descriptions</w:t>
      </w:r>
      <w:r>
        <w:rPr>
          <w:noProof/>
        </w:rPr>
        <w:t>,</w:t>
      </w:r>
      <w:r w:rsidRPr="00310C67">
        <w:rPr>
          <w:noProof/>
        </w:rPr>
        <w:t xml:space="preserve"> such as this</w:t>
      </w:r>
      <w:r>
        <w:rPr>
          <w:noProof/>
        </w:rPr>
        <w:t>,</w:t>
      </w:r>
      <w:r w:rsidRPr="00310C67">
        <w:rPr>
          <w:noProof/>
        </w:rPr>
        <w:t xml:space="preserve"> are not adequate to satisfy the requirement that an </w:t>
      </w:r>
      <w:r>
        <w:rPr>
          <w:noProof/>
        </w:rPr>
        <w:t xml:space="preserve">ES </w:t>
      </w:r>
      <w:r w:rsidRPr="00310C67">
        <w:rPr>
          <w:noProof/>
        </w:rPr>
        <w:t>describe the nature of the consultation undertaken</w:t>
      </w:r>
      <w:r>
        <w:rPr>
          <w:noProof/>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w:t>
      </w:r>
      <w:r>
        <w:rPr>
          <w:b/>
          <w:noProof/>
        </w:rPr>
        <w:t xml:space="preserve"> </w:t>
      </w:r>
      <w:r w:rsidRPr="00940F8E">
        <w:rPr>
          <w:b/>
          <w:noProof/>
        </w:rPr>
        <w:t xml:space="preserve">the ES be updated in accordance with the requirements of the </w:t>
      </w:r>
      <w:r w:rsidRPr="00E2599D">
        <w:rPr>
          <w:b/>
          <w:i/>
          <w:noProof/>
        </w:rPr>
        <w:t>Legislative Instruments Act 2003</w:t>
      </w:r>
      <w:r>
        <w:rPr>
          <w:noProof/>
        </w:rPr>
        <w:t>.</w:t>
      </w:r>
    </w:p>
    <w:p w:rsidR="001E0AC1" w:rsidRPr="00B54538" w:rsidRDefault="001E0AC1" w:rsidP="001E0AC1">
      <w:pPr>
        <w:pStyle w:val="Heading3"/>
        <w:spacing w:before="600"/>
      </w:pPr>
      <w:r w:rsidRPr="00310C67">
        <w:rPr>
          <w:noProof/>
        </w:rPr>
        <w:t xml:space="preserve">Family Law Amendment Rules 2012 (No. 2) [Select Legislative Instrument 2012 No. 331] </w:t>
      </w:r>
      <w:r w:rsidRPr="000E6FB5">
        <w:t>[F2012L02577]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Amend</w:t>
            </w:r>
            <w:r>
              <w:rPr>
                <w:rFonts w:ascii="Times New Roman" w:hAnsi="Times New Roman"/>
                <w:noProof/>
                <w:sz w:val="24"/>
                <w:szCs w:val="24"/>
              </w:rPr>
              <w:t>s</w:t>
            </w:r>
            <w:r w:rsidRPr="00310C67">
              <w:rPr>
                <w:rFonts w:ascii="Times New Roman" w:hAnsi="Times New Roman"/>
                <w:noProof/>
                <w:sz w:val="24"/>
                <w:szCs w:val="24"/>
              </w:rPr>
              <w:t xml:space="preserve"> the Family Law Rules 2004</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2A61EA" w:rsidRDefault="001E0AC1" w:rsidP="001E0AC1">
            <w:pPr>
              <w:pStyle w:val="letterheadbody"/>
              <w:spacing w:line="264" w:lineRule="auto"/>
              <w:ind w:left="0"/>
              <w:rPr>
                <w:rFonts w:ascii="Times New Roman" w:hAnsi="Times New Roman"/>
                <w:i/>
                <w:sz w:val="24"/>
                <w:szCs w:val="24"/>
              </w:rPr>
            </w:pPr>
            <w:r w:rsidRPr="002A61EA">
              <w:rPr>
                <w:rFonts w:ascii="Times New Roman" w:hAnsi="Times New Roman"/>
                <w:i/>
                <w:noProof/>
                <w:sz w:val="24"/>
                <w:szCs w:val="24"/>
              </w:rPr>
              <w:t>Family Law Act 1975</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Attorney-General's</w:t>
            </w:r>
          </w:p>
        </w:tc>
      </w:tr>
    </w:tbl>
    <w:p w:rsidR="001E0AC1" w:rsidRPr="00B54538" w:rsidRDefault="001E0AC1" w:rsidP="001E0AC1">
      <w:pPr>
        <w:spacing w:after="0"/>
        <w:rPr>
          <w:szCs w:val="26"/>
        </w:rPr>
      </w:pPr>
    </w:p>
    <w:p w:rsidR="001E0AC1" w:rsidRDefault="001E0AC1" w:rsidP="001E0AC1">
      <w:pPr>
        <w:spacing w:after="0"/>
        <w:rPr>
          <w:b/>
          <w:szCs w:val="26"/>
        </w:rPr>
      </w:pPr>
      <w:r w:rsidRPr="00B54538">
        <w:rPr>
          <w:b/>
          <w:szCs w:val="26"/>
        </w:rPr>
        <w:t>ISS</w:t>
      </w:r>
      <w:r>
        <w:rPr>
          <w:b/>
          <w:szCs w:val="26"/>
        </w:rPr>
        <w:t>UE:</w:t>
      </w:r>
    </w:p>
    <w:p w:rsidR="001E0AC1" w:rsidRPr="00B54538" w:rsidRDefault="001E0AC1" w:rsidP="001E0AC1">
      <w:pPr>
        <w:pStyle w:val="Heading4"/>
        <w:numPr>
          <w:ilvl w:val="3"/>
          <w:numId w:val="21"/>
        </w:numPr>
        <w:spacing w:before="120" w:after="120"/>
        <w:rPr>
          <w:noProof/>
        </w:rPr>
      </w:pPr>
      <w:r w:rsidRPr="00310C67">
        <w:rPr>
          <w:noProof/>
        </w:rPr>
        <w:t>Unclear basis for calculation of fee increase</w:t>
      </w:r>
    </w:p>
    <w:p w:rsidR="001E0AC1" w:rsidRDefault="001E0AC1" w:rsidP="001E0AC1">
      <w:pPr>
        <w:pStyle w:val="Level1"/>
        <w:numPr>
          <w:ilvl w:val="0"/>
          <w:numId w:val="0"/>
        </w:numPr>
        <w:rPr>
          <w:noProof/>
        </w:rPr>
      </w:pPr>
      <w:r w:rsidRPr="00310C67">
        <w:rPr>
          <w:noProof/>
        </w:rPr>
        <w:t>The instrument introduces a uniform increase of 2.7</w:t>
      </w:r>
      <w:r>
        <w:rPr>
          <w:noProof/>
        </w:rPr>
        <w:t xml:space="preserve"> per cent </w:t>
      </w:r>
      <w:r w:rsidRPr="00310C67">
        <w:rPr>
          <w:noProof/>
        </w:rPr>
        <w:t>to all items in the Itemised Scale of Costs. While the ES states that the increase is 'in conformity with the increase approved nationally by all superior courts', it does not explain the basis on which the increase has been set or calculated.</w:t>
      </w:r>
      <w:r>
        <w:rPr>
          <w:noProof/>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w:t>
      </w:r>
      <w:r>
        <w:rPr>
          <w:b/>
          <w:noProof/>
        </w:rPr>
        <w:t>Chief Justice</w:t>
      </w:r>
      <w:r>
        <w:rPr>
          <w:noProof/>
        </w:rPr>
        <w:t>.</w:t>
      </w:r>
    </w:p>
    <w:p w:rsidR="001E0AC1" w:rsidRPr="00B54538" w:rsidRDefault="001E0AC1" w:rsidP="009F02ED">
      <w:pPr>
        <w:pStyle w:val="Heading3"/>
        <w:spacing w:before="480"/>
      </w:pPr>
      <w:r w:rsidRPr="00310C67">
        <w:rPr>
          <w:noProof/>
        </w:rPr>
        <w:lastRenderedPageBreak/>
        <w:t>Health Insurance (Diagnostic Imaging Capital Sensitivity) Amendment Determination 2012 (No. 3)</w:t>
      </w:r>
      <w:r>
        <w:rPr>
          <w:noProof/>
        </w:rPr>
        <w:t xml:space="preserve"> </w:t>
      </w:r>
      <w:r w:rsidRPr="000E6FB5">
        <w:t>[F2012L02510]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Amends the Health Insurance (Diagnostic Imaging Capital Sensitivity) Determination 2011 to correct a drafting error in the description of item 63514 </w:t>
            </w:r>
            <w:r>
              <w:rPr>
                <w:rFonts w:ascii="Times New Roman" w:hAnsi="Times New Roman"/>
                <w:noProof/>
                <w:sz w:val="24"/>
                <w:szCs w:val="24"/>
              </w:rPr>
              <w:t xml:space="preserve">to </w:t>
            </w:r>
            <w:r w:rsidRPr="00310C67">
              <w:rPr>
                <w:rFonts w:ascii="Times New Roman" w:hAnsi="Times New Roman"/>
                <w:noProof/>
                <w:sz w:val="24"/>
                <w:szCs w:val="24"/>
              </w:rPr>
              <w:t>clarif</w:t>
            </w:r>
            <w:r>
              <w:rPr>
                <w:rFonts w:ascii="Times New Roman" w:hAnsi="Times New Roman"/>
                <w:noProof/>
                <w:sz w:val="24"/>
                <w:szCs w:val="24"/>
              </w:rPr>
              <w:t>y</w:t>
            </w:r>
            <w:r w:rsidRPr="00310C67">
              <w:rPr>
                <w:rFonts w:ascii="Times New Roman" w:hAnsi="Times New Roman"/>
                <w:noProof/>
                <w:sz w:val="24"/>
                <w:szCs w:val="24"/>
              </w:rPr>
              <w:t xml:space="preserve"> that the use of anaesthetic and contrast is permissible where a General Practitioner requests an MRI knee scan for a </w:t>
            </w:r>
            <w:r>
              <w:rPr>
                <w:rFonts w:ascii="Times New Roman" w:hAnsi="Times New Roman"/>
                <w:noProof/>
                <w:sz w:val="24"/>
                <w:szCs w:val="24"/>
              </w:rPr>
              <w:t>child under the age of 16 years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895565" w:rsidRDefault="001E0AC1" w:rsidP="001E0AC1">
            <w:pPr>
              <w:pStyle w:val="letterheadbody"/>
              <w:spacing w:line="264" w:lineRule="auto"/>
              <w:ind w:left="0"/>
              <w:rPr>
                <w:rFonts w:ascii="Times New Roman" w:hAnsi="Times New Roman"/>
                <w:i/>
                <w:sz w:val="24"/>
                <w:szCs w:val="24"/>
              </w:rPr>
            </w:pPr>
            <w:r w:rsidRPr="00895565">
              <w:rPr>
                <w:rFonts w:ascii="Times New Roman" w:hAnsi="Times New Roman"/>
                <w:i/>
                <w:noProof/>
                <w:sz w:val="24"/>
                <w:szCs w:val="24"/>
              </w:rPr>
              <w:t>Health Insurance Act 1973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Health and Ageing</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895565" w:rsidRDefault="001E0AC1" w:rsidP="001E0AC1">
      <w:pPr>
        <w:pStyle w:val="Heading4"/>
        <w:numPr>
          <w:ilvl w:val="3"/>
          <w:numId w:val="21"/>
        </w:numPr>
        <w:spacing w:before="120" w:after="120"/>
      </w:pPr>
      <w:r w:rsidRPr="00310C67">
        <w:rPr>
          <w:noProof/>
        </w:rPr>
        <w:t>Whether any person disadvantaged by previous error</w:t>
      </w:r>
    </w:p>
    <w:p w:rsidR="001E0AC1" w:rsidRPr="00895565" w:rsidRDefault="001E0AC1" w:rsidP="001E0AC1">
      <w:pPr>
        <w:pStyle w:val="Level1"/>
        <w:numPr>
          <w:ilvl w:val="0"/>
          <w:numId w:val="0"/>
        </w:numPr>
        <w:rPr>
          <w:noProof/>
        </w:rPr>
      </w:pPr>
      <w:r w:rsidRPr="00310C67">
        <w:rPr>
          <w:noProof/>
        </w:rPr>
        <w:t>The instrument corrects an omission in the description of an item in the principal determination, which meant that the item did not, as intended, authorise the claiming of Medicare benefits for anaesthetic and contrast compounds used in diagnostic imaging. In such cases, the committee usually expect</w:t>
      </w:r>
      <w:r>
        <w:rPr>
          <w:noProof/>
        </w:rPr>
        <w:t>s</w:t>
      </w:r>
      <w:r w:rsidRPr="00310C67">
        <w:rPr>
          <w:noProof/>
        </w:rPr>
        <w:t xml:space="preserve"> an assurance that no person has been disadvantaged or, if they have, an explanation of what steps have been taken to address that disadvantage (for example, a person may have been out of pocket by not being able to claim the benefit for the anaesthetic and contrast compounds).</w:t>
      </w:r>
      <w:r>
        <w:rPr>
          <w:noProof/>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w:t>
      </w:r>
      <w:r>
        <w:rPr>
          <w:b/>
          <w:noProof/>
        </w:rPr>
        <w:t>minister</w:t>
      </w:r>
      <w:r>
        <w:rPr>
          <w:noProof/>
        </w:rPr>
        <w:t>.</w:t>
      </w:r>
    </w:p>
    <w:p w:rsidR="001E0AC1" w:rsidRPr="00B54538" w:rsidRDefault="001E0AC1" w:rsidP="001E0AC1">
      <w:pPr>
        <w:pStyle w:val="Heading3"/>
        <w:spacing w:before="600"/>
      </w:pPr>
      <w:r w:rsidRPr="00310C67">
        <w:rPr>
          <w:noProof/>
        </w:rPr>
        <w:t>Native Title (Assistance from Attorney-General) Guideline 2012</w:t>
      </w:r>
      <w:r>
        <w:rPr>
          <w:noProof/>
        </w:rPr>
        <w:t xml:space="preserve"> </w:t>
      </w:r>
      <w:r w:rsidRPr="000E6FB5">
        <w:t>[F2012L02564]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To be applied in authorising the provision of assistance under section 213A of the </w:t>
            </w:r>
            <w:r w:rsidRPr="00895565">
              <w:rPr>
                <w:rFonts w:ascii="Times New Roman" w:hAnsi="Times New Roman"/>
                <w:i/>
                <w:noProof/>
                <w:sz w:val="24"/>
                <w:szCs w:val="24"/>
              </w:rPr>
              <w:t>Native Title Act 1993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895565" w:rsidRDefault="001E0AC1" w:rsidP="001E0AC1">
            <w:pPr>
              <w:pStyle w:val="letterheadbody"/>
              <w:spacing w:line="264" w:lineRule="auto"/>
              <w:ind w:left="0"/>
              <w:rPr>
                <w:rFonts w:ascii="Times New Roman" w:hAnsi="Times New Roman"/>
                <w:i/>
                <w:sz w:val="24"/>
                <w:szCs w:val="24"/>
              </w:rPr>
            </w:pPr>
            <w:r w:rsidRPr="00895565">
              <w:rPr>
                <w:rFonts w:ascii="Times New Roman" w:hAnsi="Times New Roman"/>
                <w:i/>
                <w:noProof/>
                <w:sz w:val="24"/>
                <w:szCs w:val="24"/>
              </w:rPr>
              <w:t>Native Title Act 1993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Attorney-General's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Unclear term</w:t>
      </w:r>
    </w:p>
    <w:p w:rsidR="001E0AC1" w:rsidRDefault="001E0AC1" w:rsidP="001E0AC1">
      <w:pPr>
        <w:pStyle w:val="Level1"/>
        <w:numPr>
          <w:ilvl w:val="0"/>
          <w:numId w:val="0"/>
        </w:numPr>
        <w:rPr>
          <w:noProof/>
        </w:rPr>
      </w:pPr>
      <w:r w:rsidRPr="00310C67">
        <w:rPr>
          <w:noProof/>
        </w:rPr>
        <w:t>Th</w:t>
      </w:r>
      <w:r>
        <w:rPr>
          <w:noProof/>
        </w:rPr>
        <w:t>e</w:t>
      </w:r>
      <w:r w:rsidRPr="00310C67">
        <w:rPr>
          <w:noProof/>
        </w:rPr>
        <w:t xml:space="preserve"> guideline sets out how the Attorney-General is to make decisions about providing financial assistance to native title claimants. Section 4.2 of the guideline provides that a decision maker must not authorise the provision of financial assistance for costs incurred before a complete application for assistance has been received unless there are 'exceptional circumstances'. However, there is no guidance or examples as to what might const</w:t>
      </w:r>
      <w:r>
        <w:rPr>
          <w:noProof/>
        </w:rPr>
        <w:t xml:space="preserve">itute exceptional circumstances, and the committee considers that this could be a potentially uncertain criteria.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w:t>
      </w:r>
      <w:r>
        <w:rPr>
          <w:b/>
          <w:noProof/>
        </w:rPr>
        <w:t>Attorney-General</w:t>
      </w:r>
      <w:r>
        <w:rPr>
          <w:noProof/>
        </w:rPr>
        <w:t>.</w:t>
      </w:r>
    </w:p>
    <w:p w:rsidR="001E0AC1" w:rsidRDefault="001E0AC1" w:rsidP="009F02ED">
      <w:pPr>
        <w:pStyle w:val="Heading3"/>
        <w:spacing w:before="480"/>
        <w:rPr>
          <w:noProof/>
        </w:rPr>
      </w:pPr>
      <w:r w:rsidRPr="00310C67">
        <w:rPr>
          <w:noProof/>
        </w:rPr>
        <w:lastRenderedPageBreak/>
        <w:t>CASA ADCX 001/13 - Revocati</w:t>
      </w:r>
      <w:r>
        <w:rPr>
          <w:noProof/>
        </w:rPr>
        <w:t xml:space="preserve">on of Airworthiness Directives </w:t>
      </w:r>
      <w:r w:rsidRPr="000E6FB5">
        <w:t>[F2013L00063]</w:t>
      </w:r>
      <w:r>
        <w:rPr>
          <w:noProof/>
        </w:rPr>
        <w:t xml:space="preserve"> and three other instruments</w:t>
      </w:r>
      <w:r>
        <w:rPr>
          <w:rStyle w:val="FootnoteReference"/>
          <w:noProof/>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noProof/>
                <w:sz w:val="24"/>
                <w:szCs w:val="24"/>
              </w:rPr>
              <w:t>The instruments (1) r</w:t>
            </w:r>
            <w:r w:rsidRPr="00310C67">
              <w:rPr>
                <w:rFonts w:ascii="Times New Roman" w:hAnsi="Times New Roman"/>
                <w:noProof/>
                <w:sz w:val="24"/>
                <w:szCs w:val="24"/>
              </w:rPr>
              <w:t xml:space="preserve">evoke airworthiness directives; </w:t>
            </w:r>
            <w:r>
              <w:rPr>
                <w:rFonts w:ascii="Times New Roman" w:hAnsi="Times New Roman"/>
                <w:noProof/>
                <w:sz w:val="24"/>
                <w:szCs w:val="24"/>
              </w:rPr>
              <w:t>(2) a</w:t>
            </w:r>
            <w:r w:rsidRPr="00310C67">
              <w:rPr>
                <w:rFonts w:ascii="Times New Roman" w:hAnsi="Times New Roman"/>
                <w:noProof/>
                <w:sz w:val="24"/>
                <w:szCs w:val="24"/>
              </w:rPr>
              <w:t xml:space="preserve">llow Network Aviation Pty Ltd to use an approved flight simulator to satisfy recency requirements instead of relying on flights in F100 and Embraer aeroplanes; and </w:t>
            </w:r>
            <w:r>
              <w:rPr>
                <w:rFonts w:ascii="Times New Roman" w:hAnsi="Times New Roman"/>
                <w:noProof/>
                <w:sz w:val="24"/>
                <w:szCs w:val="24"/>
              </w:rPr>
              <w:t xml:space="preserve">(3) </w:t>
            </w:r>
            <w:r w:rsidRPr="00310C67">
              <w:rPr>
                <w:rFonts w:ascii="Times New Roman" w:hAnsi="Times New Roman"/>
                <w:noProof/>
                <w:sz w:val="24"/>
                <w:szCs w:val="24"/>
              </w:rPr>
              <w:t xml:space="preserve">amend Civil Aviation Order 20.18 </w:t>
            </w:r>
            <w:r>
              <w:rPr>
                <w:rFonts w:ascii="Times New Roman" w:hAnsi="Times New Roman"/>
                <w:noProof/>
                <w:sz w:val="24"/>
                <w:szCs w:val="24"/>
              </w:rPr>
              <w:t xml:space="preserve">such that paragraph 10.1 </w:t>
            </w:r>
            <w:r w:rsidRPr="00310C67">
              <w:rPr>
                <w:rFonts w:ascii="Times New Roman" w:hAnsi="Times New Roman"/>
                <w:noProof/>
                <w:sz w:val="24"/>
                <w:szCs w:val="24"/>
              </w:rPr>
              <w:t xml:space="preserve">applies </w:t>
            </w:r>
            <w:r>
              <w:rPr>
                <w:rFonts w:ascii="Times New Roman" w:hAnsi="Times New Roman"/>
                <w:noProof/>
                <w:sz w:val="24"/>
                <w:szCs w:val="24"/>
              </w:rPr>
              <w:t xml:space="preserve">only </w:t>
            </w:r>
            <w:r w:rsidRPr="00310C67">
              <w:rPr>
                <w:rFonts w:ascii="Times New Roman" w:hAnsi="Times New Roman"/>
                <w:noProof/>
                <w:sz w:val="24"/>
                <w:szCs w:val="24"/>
              </w:rPr>
              <w:t>to instruments or equipment that an aircraft carries or is fitted with under subregulati</w:t>
            </w:r>
            <w:r>
              <w:rPr>
                <w:rFonts w:ascii="Times New Roman" w:hAnsi="Times New Roman"/>
                <w:noProof/>
                <w:sz w:val="24"/>
                <w:szCs w:val="24"/>
              </w:rPr>
              <w:t>on 207(2)</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Drafting</w:t>
      </w:r>
    </w:p>
    <w:p w:rsidR="001E0AC1" w:rsidRPr="00310C67" w:rsidRDefault="001E0AC1" w:rsidP="001E0AC1">
      <w:pPr>
        <w:rPr>
          <w:noProof/>
        </w:rPr>
      </w:pPr>
      <w:r w:rsidRPr="00310C67">
        <w:rPr>
          <w:noProof/>
        </w:rPr>
        <w:t xml:space="preserve">The first of the instruments mentioned </w:t>
      </w:r>
      <w:r>
        <w:rPr>
          <w:noProof/>
        </w:rPr>
        <w:t>is made under subregulation </w:t>
      </w:r>
      <w:r w:rsidRPr="00310C67">
        <w:rPr>
          <w:noProof/>
        </w:rPr>
        <w:t xml:space="preserve">39.001(1) of the Civil Aviation Safety Regulations 1998, which allows CASA to issue airworthiness directives. </w:t>
      </w:r>
      <w:r>
        <w:rPr>
          <w:noProof/>
        </w:rPr>
        <w:t>As that subregulation contains no express power to revoke</w:t>
      </w:r>
      <w:r w:rsidRPr="00310C67">
        <w:rPr>
          <w:noProof/>
        </w:rPr>
        <w:t xml:space="preserve"> airworthiness directives</w:t>
      </w:r>
      <w:r>
        <w:rPr>
          <w:noProof/>
        </w:rPr>
        <w:t xml:space="preserve">, </w:t>
      </w:r>
      <w:r w:rsidRPr="00310C67">
        <w:rPr>
          <w:noProof/>
        </w:rPr>
        <w:t xml:space="preserve">the instrument </w:t>
      </w:r>
      <w:r w:rsidRPr="00310C67">
        <w:rPr>
          <w:noProof/>
          <w:szCs w:val="26"/>
        </w:rPr>
        <w:t xml:space="preserve">presumably relies on subsection 33(3) of the </w:t>
      </w:r>
      <w:r w:rsidRPr="00E90A2F">
        <w:rPr>
          <w:i/>
          <w:noProof/>
          <w:szCs w:val="26"/>
        </w:rPr>
        <w:t>Acts Interpretation Act 1901</w:t>
      </w:r>
      <w:r w:rsidRPr="00310C67">
        <w:rPr>
          <w:noProof/>
          <w:szCs w:val="26"/>
        </w:rPr>
        <w:t xml:space="preserve">, which provides that the power to make an instrument includes the power to </w:t>
      </w:r>
      <w:r>
        <w:rPr>
          <w:noProof/>
          <w:szCs w:val="26"/>
        </w:rPr>
        <w:t xml:space="preserve">vary or </w:t>
      </w:r>
      <w:r w:rsidRPr="00310C67">
        <w:rPr>
          <w:noProof/>
          <w:szCs w:val="26"/>
        </w:rPr>
        <w:t>revoke the instrument.</w:t>
      </w:r>
      <w:r>
        <w:rPr>
          <w:noProof/>
          <w:szCs w:val="26"/>
        </w:rPr>
        <w:t xml:space="preserve"> If that is the case,</w:t>
      </w:r>
      <w:r w:rsidRPr="00310C67">
        <w:rPr>
          <w:noProof/>
          <w:szCs w:val="26"/>
        </w:rPr>
        <w:t xml:space="preserve"> it would be preferable </w:t>
      </w:r>
      <w:r>
        <w:rPr>
          <w:noProof/>
          <w:szCs w:val="26"/>
        </w:rPr>
        <w:t xml:space="preserve">for </w:t>
      </w:r>
      <w:r w:rsidRPr="00310C67">
        <w:rPr>
          <w:noProof/>
          <w:szCs w:val="26"/>
        </w:rPr>
        <w:t xml:space="preserve">the making words of the instrument </w:t>
      </w:r>
      <w:r>
        <w:rPr>
          <w:noProof/>
          <w:szCs w:val="26"/>
        </w:rPr>
        <w:t xml:space="preserve">and the ES to clearly identify the authority for the exercise of the power. </w:t>
      </w:r>
      <w:r w:rsidRPr="00310C67">
        <w:rPr>
          <w:noProof/>
          <w:szCs w:val="26"/>
        </w:rPr>
        <w:t xml:space="preserve">The same issue arises in relation to the other three instruments </w:t>
      </w:r>
      <w:r>
        <w:rPr>
          <w:noProof/>
          <w:szCs w:val="26"/>
        </w:rPr>
        <w:t>identified</w:t>
      </w:r>
      <w:r w:rsidRPr="00310C67">
        <w:rPr>
          <w:noProof/>
          <w:szCs w:val="26"/>
        </w:rPr>
        <w:t>.</w:t>
      </w:r>
      <w:r>
        <w:rPr>
          <w:noProof/>
          <w:szCs w:val="26"/>
        </w:rPr>
        <w:t xml:space="preserve"> </w:t>
      </w:r>
      <w:r w:rsidRPr="00E90A2F">
        <w:rPr>
          <w:b/>
          <w:noProof/>
          <w:szCs w:val="26"/>
        </w:rPr>
        <w:t xml:space="preserve">The committee will </w:t>
      </w:r>
      <w:r>
        <w:rPr>
          <w:b/>
          <w:noProof/>
          <w:szCs w:val="26"/>
        </w:rPr>
        <w:t xml:space="preserve">therefore </w:t>
      </w:r>
      <w:r w:rsidRPr="00E90A2F">
        <w:rPr>
          <w:b/>
          <w:noProof/>
          <w:szCs w:val="26"/>
        </w:rPr>
        <w:t>draw this issue to the attention of the minister</w:t>
      </w:r>
      <w:r w:rsidRPr="00310C67">
        <w:rPr>
          <w:noProof/>
          <w:szCs w:val="26"/>
        </w:rPr>
        <w:t>.</w:t>
      </w:r>
    </w:p>
    <w:p w:rsidR="001E0AC1" w:rsidRDefault="001E0AC1" w:rsidP="001E0AC1">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Defence Determination 2012/68, Reserve employer support payments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Repeals and replaces the Defence (Employer Support) Determination 2005, which provides for payments to be made to the employers of certain members of the Australian Defence Force who</w:t>
            </w:r>
            <w:r>
              <w:rPr>
                <w:rFonts w:ascii="Times New Roman" w:hAnsi="Times New Roman"/>
                <w:noProof/>
                <w:sz w:val="24"/>
                <w:szCs w:val="24"/>
              </w:rPr>
              <w:t xml:space="preserve"> serve as reservists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E72FCA" w:rsidRDefault="001E0AC1" w:rsidP="001E0AC1">
            <w:pPr>
              <w:pStyle w:val="letterheadbody"/>
              <w:spacing w:line="264" w:lineRule="auto"/>
              <w:ind w:left="0"/>
              <w:rPr>
                <w:rFonts w:ascii="Times New Roman" w:hAnsi="Times New Roman"/>
                <w:i/>
                <w:sz w:val="24"/>
                <w:szCs w:val="24"/>
              </w:rPr>
            </w:pPr>
            <w:r w:rsidRPr="00E72FCA">
              <w:rPr>
                <w:rFonts w:ascii="Times New Roman" w:hAnsi="Times New Roman"/>
                <w:i/>
                <w:noProof/>
                <w:sz w:val="24"/>
                <w:szCs w:val="24"/>
              </w:rPr>
              <w:t>Defence Act 1903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Defence</w:t>
            </w:r>
          </w:p>
        </w:tc>
      </w:tr>
    </w:tbl>
    <w:p w:rsidR="001E0AC1" w:rsidRDefault="001E0AC1" w:rsidP="001E0AC1">
      <w:pPr>
        <w:spacing w:after="0"/>
        <w:rPr>
          <w:szCs w:val="26"/>
        </w:rPr>
      </w:pPr>
    </w:p>
    <w:p w:rsidR="001E0AC1" w:rsidRDefault="001E0AC1" w:rsidP="001E0AC1">
      <w:pPr>
        <w:spacing w:after="0"/>
        <w:rPr>
          <w:b/>
          <w:szCs w:val="26"/>
        </w:rPr>
      </w:pPr>
      <w:r w:rsidRPr="00B54538">
        <w:rPr>
          <w:b/>
          <w:szCs w:val="26"/>
        </w:rPr>
        <w:t>ISSUE</w:t>
      </w:r>
      <w:r>
        <w:rPr>
          <w:b/>
          <w:szCs w:val="26"/>
        </w:rPr>
        <w:t>S:</w:t>
      </w:r>
    </w:p>
    <w:p w:rsidR="001E0AC1" w:rsidRPr="00B54538" w:rsidRDefault="001E0AC1" w:rsidP="001E0AC1">
      <w:pPr>
        <w:pStyle w:val="Heading4"/>
        <w:numPr>
          <w:ilvl w:val="3"/>
          <w:numId w:val="21"/>
        </w:numPr>
        <w:spacing w:before="120" w:after="120"/>
        <w:rPr>
          <w:noProof/>
        </w:rPr>
      </w:pPr>
      <w:r>
        <w:rPr>
          <w:noProof/>
        </w:rPr>
        <w:t>(a) Trespass on personal rights</w:t>
      </w:r>
    </w:p>
    <w:p w:rsidR="001E0AC1" w:rsidRPr="00310C67" w:rsidRDefault="001E0AC1" w:rsidP="001E0AC1">
      <w:pPr>
        <w:rPr>
          <w:noProof/>
          <w:szCs w:val="26"/>
        </w:rPr>
      </w:pPr>
      <w:r>
        <w:rPr>
          <w:noProof/>
          <w:szCs w:val="26"/>
        </w:rPr>
        <w:t>S</w:t>
      </w:r>
      <w:r w:rsidRPr="00E72FCA">
        <w:rPr>
          <w:noProof/>
          <w:szCs w:val="26"/>
        </w:rPr>
        <w:t xml:space="preserve">ubsections 3.5(a) and (b) of the determination provide that nothing in section 3 (relating to repeal, saving and transition matters) is taken to preserve the monetary amount or value of a person's entitlements under the former determination. While the committee appreciates that the section facilitates the transition between the two determinations by, for example, ensuring that a person who has qualified for an entitlement under the previous determination will be taken to have qualified for the corresponding requirement under the new determination, the committee notes </w:t>
      </w:r>
      <w:r>
        <w:rPr>
          <w:noProof/>
          <w:szCs w:val="26"/>
        </w:rPr>
        <w:t xml:space="preserve">that the </w:t>
      </w:r>
      <w:r w:rsidRPr="00E72FCA">
        <w:rPr>
          <w:noProof/>
          <w:szCs w:val="26"/>
        </w:rPr>
        <w:t xml:space="preserve">ES provides only a general description of the purpose and operation of the section and, particularly, subsections 3.5(a) and (b). </w:t>
      </w:r>
      <w:r w:rsidRPr="00E72FCA">
        <w:rPr>
          <w:b/>
          <w:noProof/>
          <w:szCs w:val="26"/>
        </w:rPr>
        <w:t xml:space="preserve">The committee </w:t>
      </w:r>
      <w:r>
        <w:rPr>
          <w:b/>
          <w:noProof/>
          <w:szCs w:val="26"/>
        </w:rPr>
        <w:t xml:space="preserve">will </w:t>
      </w:r>
      <w:r w:rsidRPr="00E72FCA">
        <w:rPr>
          <w:b/>
          <w:noProof/>
          <w:szCs w:val="26"/>
        </w:rPr>
        <w:t xml:space="preserve">therefore seek </w:t>
      </w:r>
      <w:r>
        <w:rPr>
          <w:b/>
          <w:noProof/>
          <w:szCs w:val="26"/>
        </w:rPr>
        <w:t xml:space="preserve">furtehr information from </w:t>
      </w:r>
      <w:r w:rsidRPr="00E72FCA">
        <w:rPr>
          <w:b/>
          <w:noProof/>
          <w:szCs w:val="26"/>
        </w:rPr>
        <w:t xml:space="preserve">the </w:t>
      </w:r>
      <w:r>
        <w:rPr>
          <w:b/>
          <w:noProof/>
          <w:szCs w:val="26"/>
        </w:rPr>
        <w:t>parliamentary secretary</w:t>
      </w:r>
      <w:r w:rsidRPr="00E72FCA">
        <w:rPr>
          <w:b/>
          <w:noProof/>
          <w:szCs w:val="26"/>
        </w:rPr>
        <w:t xml:space="preserve">'s </w:t>
      </w:r>
      <w:r>
        <w:rPr>
          <w:b/>
          <w:noProof/>
          <w:szCs w:val="26"/>
        </w:rPr>
        <w:t xml:space="preserve">as to </w:t>
      </w:r>
      <w:r w:rsidRPr="00E72FCA">
        <w:rPr>
          <w:b/>
          <w:noProof/>
          <w:szCs w:val="26"/>
        </w:rPr>
        <w:t xml:space="preserve">the intended purpose of subsections 3.5(a) and (b), and particularly as to whether there is potential for a person to be disadvantaged due to </w:t>
      </w:r>
      <w:r>
        <w:rPr>
          <w:b/>
          <w:noProof/>
          <w:szCs w:val="26"/>
        </w:rPr>
        <w:t>their</w:t>
      </w:r>
      <w:r w:rsidRPr="00E72FCA">
        <w:rPr>
          <w:b/>
          <w:noProof/>
          <w:szCs w:val="26"/>
        </w:rPr>
        <w:t xml:space="preserve"> operation</w:t>
      </w:r>
      <w:r>
        <w:rPr>
          <w:noProof/>
          <w:szCs w:val="26"/>
        </w:rPr>
        <w:t>.</w:t>
      </w:r>
    </w:p>
    <w:p w:rsidR="001E0AC1" w:rsidRDefault="001E0AC1" w:rsidP="001E0AC1">
      <w:pPr>
        <w:pStyle w:val="Heading4"/>
        <w:numPr>
          <w:ilvl w:val="3"/>
          <w:numId w:val="21"/>
        </w:numPr>
        <w:spacing w:before="120" w:after="120"/>
        <w:rPr>
          <w:noProof/>
          <w:szCs w:val="26"/>
        </w:rPr>
      </w:pPr>
      <w:r w:rsidRPr="00310C67">
        <w:rPr>
          <w:noProof/>
        </w:rPr>
        <w:t xml:space="preserve">(b) Review </w:t>
      </w:r>
      <w:r>
        <w:rPr>
          <w:noProof/>
        </w:rPr>
        <w:t>of decisions on their merits</w:t>
      </w:r>
    </w:p>
    <w:p w:rsidR="001E0AC1" w:rsidRPr="00316FEB" w:rsidRDefault="001E0AC1" w:rsidP="001E0AC1">
      <w:pPr>
        <w:pStyle w:val="Level1"/>
        <w:numPr>
          <w:ilvl w:val="0"/>
          <w:numId w:val="0"/>
        </w:numPr>
        <w:rPr>
          <w:b/>
          <w:noProof/>
          <w:szCs w:val="26"/>
        </w:rPr>
      </w:pPr>
      <w:r w:rsidRPr="00310C67">
        <w:rPr>
          <w:noProof/>
        </w:rPr>
        <w:t xml:space="preserve">Part 5 of the instrument deals with the question of review of decisions. It is apparent from the transitional provisions that the new instrument removes the right of review by the </w:t>
      </w:r>
      <w:r>
        <w:rPr>
          <w:noProof/>
        </w:rPr>
        <w:t>Administrative Appeals Tribunal (</w:t>
      </w:r>
      <w:r w:rsidRPr="00310C67">
        <w:rPr>
          <w:noProof/>
        </w:rPr>
        <w:t>AAT</w:t>
      </w:r>
      <w:r>
        <w:rPr>
          <w:noProof/>
        </w:rPr>
        <w:t>)</w:t>
      </w:r>
      <w:r w:rsidRPr="00310C67">
        <w:rPr>
          <w:noProof/>
        </w:rPr>
        <w:t xml:space="preserve"> for certain decisions relating to employer support payments; however, the ES notes that a review of a decision may be conducted by the Commonwealth Ombudsman.</w:t>
      </w:r>
      <w:r>
        <w:rPr>
          <w:noProof/>
        </w:rPr>
        <w:t xml:space="preserve"> In the committee's view, it is unclear why AAT review has been excluded, and what will be the nature and potential outcomes of a review by the Ombudsman.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w:t>
      </w:r>
      <w:r>
        <w:rPr>
          <w:b/>
          <w:noProof/>
          <w:szCs w:val="26"/>
        </w:rPr>
        <w:t>parliamentary secretary</w:t>
      </w:r>
      <w:r>
        <w:rPr>
          <w:noProof/>
        </w:rPr>
        <w:t>.</w:t>
      </w:r>
    </w:p>
    <w:p w:rsidR="001E0AC1" w:rsidRDefault="001E0AC1" w:rsidP="001E0AC1">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 xml:space="preserve">Water Efficiency Labelling and Standards Determination 2013 </w:t>
      </w:r>
      <w:r w:rsidRPr="008F1D25">
        <w:t>[F2013L00067]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Repeals the Water Efficiency Labelling and Standards Determination </w:t>
            </w:r>
            <w:r>
              <w:rPr>
                <w:rFonts w:ascii="Times New Roman" w:hAnsi="Times New Roman"/>
                <w:noProof/>
                <w:sz w:val="24"/>
                <w:szCs w:val="24"/>
              </w:rPr>
              <w:t xml:space="preserve">(WELS) </w:t>
            </w:r>
            <w:r w:rsidRPr="00310C67">
              <w:rPr>
                <w:rFonts w:ascii="Times New Roman" w:hAnsi="Times New Roman"/>
                <w:noProof/>
                <w:sz w:val="24"/>
                <w:szCs w:val="24"/>
              </w:rPr>
              <w:t>2011 and sets the registration requirements and rules for products that are covered by the WELS Scheme and also sets the fee</w:t>
            </w:r>
            <w:r>
              <w:rPr>
                <w:rFonts w:ascii="Times New Roman" w:hAnsi="Times New Roman"/>
                <w:noProof/>
                <w:sz w:val="24"/>
                <w:szCs w:val="24"/>
              </w:rPr>
              <w:t xml:space="preserve"> amount for those registrations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16FEB" w:rsidRDefault="001E0AC1" w:rsidP="001E0AC1">
            <w:pPr>
              <w:pStyle w:val="letterheadbody"/>
              <w:spacing w:line="264" w:lineRule="auto"/>
              <w:ind w:left="0"/>
              <w:rPr>
                <w:rFonts w:ascii="Times New Roman" w:hAnsi="Times New Roman"/>
                <w:i/>
                <w:sz w:val="24"/>
                <w:szCs w:val="24"/>
              </w:rPr>
            </w:pPr>
            <w:r w:rsidRPr="00316FEB">
              <w:rPr>
                <w:rFonts w:ascii="Times New Roman" w:hAnsi="Times New Roman"/>
                <w:i/>
                <w:noProof/>
                <w:sz w:val="24"/>
                <w:szCs w:val="24"/>
              </w:rPr>
              <w:t>Water Efficiency Labelling and Standards Act 2005</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Sustainability, Environment, Water, Population and Communities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Unclear basis for calculation of fees</w:t>
      </w:r>
    </w:p>
    <w:p w:rsidR="001E0AC1" w:rsidRPr="00310C67" w:rsidRDefault="001E0AC1" w:rsidP="001E0AC1">
      <w:pPr>
        <w:pStyle w:val="Level1"/>
        <w:numPr>
          <w:ilvl w:val="0"/>
          <w:numId w:val="0"/>
        </w:numPr>
        <w:rPr>
          <w:noProof/>
        </w:rPr>
      </w:pPr>
      <w:r w:rsidRPr="00310C67">
        <w:rPr>
          <w:noProof/>
        </w:rPr>
        <w:t>Th</w:t>
      </w:r>
      <w:r>
        <w:rPr>
          <w:noProof/>
        </w:rPr>
        <w:t>e</w:t>
      </w:r>
      <w:r w:rsidRPr="00310C67">
        <w:rPr>
          <w:noProof/>
        </w:rPr>
        <w:t xml:space="preserve"> determination repeals the previous determination, sets the registration requirements and rules for products that are covered by the WELS Scheme and also sets the fee amount for those registrations. Contrary to the committee's usual expectation, the </w:t>
      </w:r>
      <w:r>
        <w:rPr>
          <w:noProof/>
        </w:rPr>
        <w:t xml:space="preserve">ES </w:t>
      </w:r>
      <w:r w:rsidRPr="00310C67">
        <w:rPr>
          <w:noProof/>
        </w:rPr>
        <w:t>does not indicate whether the registration fees have decreased or increased or describe the basis for the calculation of the registration fees.</w:t>
      </w:r>
      <w:r>
        <w:rPr>
          <w:noProof/>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w:t>
      </w:r>
      <w:r>
        <w:rPr>
          <w:b/>
          <w:noProof/>
        </w:rPr>
        <w:t>minister</w:t>
      </w:r>
      <w:r>
        <w:rPr>
          <w:noProof/>
        </w:rPr>
        <w:t>.</w:t>
      </w:r>
    </w:p>
    <w:p w:rsidR="001E0AC1" w:rsidRPr="00B54538" w:rsidRDefault="001E0AC1" w:rsidP="009F02ED">
      <w:pPr>
        <w:pStyle w:val="Heading3"/>
        <w:spacing w:before="240"/>
      </w:pPr>
      <w:r w:rsidRPr="00310C67">
        <w:rPr>
          <w:noProof/>
        </w:rPr>
        <w:t>Carbon Credits (Carbon Farming Initiative) (Destruction of Methane Generated from Dairy Manure in Covered Anaerobic Ponds) Methodology Determination 2012</w:t>
      </w:r>
      <w:r>
        <w:rPr>
          <w:noProof/>
        </w:rPr>
        <w:t xml:space="preserve"> </w:t>
      </w:r>
      <w:r w:rsidRPr="000E6FB5">
        <w:t>[F2012L02571]</w:t>
      </w:r>
      <w:r>
        <w:t>; and</w:t>
      </w:r>
    </w:p>
    <w:p w:rsidR="001E0AC1" w:rsidRPr="00B54538" w:rsidRDefault="001E0AC1" w:rsidP="001E0AC1">
      <w:pPr>
        <w:pStyle w:val="Heading3"/>
      </w:pPr>
      <w:r w:rsidRPr="00310C67">
        <w:rPr>
          <w:noProof/>
        </w:rPr>
        <w:t>Carbon Credits (Carbon Farming Initiative) (Destruction of Methane from Piggeries using Engineered Biodigesters) Methodology Determination 2013</w:t>
      </w:r>
      <w:r>
        <w:rPr>
          <w:noProof/>
        </w:rPr>
        <w:t xml:space="preserve"> </w:t>
      </w:r>
      <w:r w:rsidRPr="000E6FB5">
        <w:t>[F2013L00124]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Sets out the detailed rules for implementing and monitoring an agricultural emissions avoidance project under the Carbon Farming Initiative (CFI) to </w:t>
            </w:r>
            <w:r>
              <w:rPr>
                <w:rFonts w:ascii="Times New Roman" w:hAnsi="Times New Roman"/>
                <w:noProof/>
                <w:sz w:val="24"/>
                <w:szCs w:val="24"/>
              </w:rPr>
              <w:t xml:space="preserve">capture biogas generated from dairy farms and to </w:t>
            </w:r>
            <w:r w:rsidRPr="00310C67">
              <w:rPr>
                <w:rFonts w:ascii="Times New Roman" w:hAnsi="Times New Roman"/>
                <w:noProof/>
                <w:sz w:val="24"/>
                <w:szCs w:val="24"/>
              </w:rPr>
              <w:t>reduce the methane generated from m</w:t>
            </w:r>
            <w:r>
              <w:rPr>
                <w:rFonts w:ascii="Times New Roman" w:hAnsi="Times New Roman"/>
                <w:noProof/>
                <w:sz w:val="24"/>
                <w:szCs w:val="24"/>
              </w:rPr>
              <w:t>anure in conventional piggeries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16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16FEB" w:rsidRDefault="001E0AC1" w:rsidP="001E0AC1">
            <w:pPr>
              <w:pStyle w:val="letterheadbody"/>
              <w:spacing w:line="264" w:lineRule="auto"/>
              <w:ind w:left="0"/>
              <w:rPr>
                <w:rFonts w:ascii="Times New Roman" w:hAnsi="Times New Roman"/>
                <w:i/>
                <w:sz w:val="24"/>
                <w:szCs w:val="24"/>
              </w:rPr>
            </w:pPr>
            <w:r w:rsidRPr="00316FEB">
              <w:rPr>
                <w:rFonts w:ascii="Times New Roman" w:hAnsi="Times New Roman"/>
                <w:i/>
                <w:noProof/>
                <w:sz w:val="24"/>
                <w:szCs w:val="24"/>
              </w:rPr>
              <w:t>Carbon Credits (Carbon Farming Initiative) Act 2011</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Climate Change and Energy Efficiency</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Vague or un</w:t>
      </w:r>
      <w:r>
        <w:rPr>
          <w:noProof/>
        </w:rPr>
        <w:t>certain terminology</w:t>
      </w:r>
    </w:p>
    <w:p w:rsidR="001E0AC1" w:rsidRPr="00310C67" w:rsidRDefault="001E0AC1" w:rsidP="001E0AC1">
      <w:pPr>
        <w:rPr>
          <w:noProof/>
          <w:szCs w:val="26"/>
        </w:rPr>
      </w:pPr>
      <w:r w:rsidRPr="00310C67">
        <w:rPr>
          <w:noProof/>
          <w:szCs w:val="26"/>
        </w:rPr>
        <w:t>The instrument</w:t>
      </w:r>
      <w:r>
        <w:rPr>
          <w:noProof/>
          <w:szCs w:val="26"/>
        </w:rPr>
        <w:t>s,</w:t>
      </w:r>
      <w:r w:rsidRPr="00310C67">
        <w:rPr>
          <w:noProof/>
          <w:szCs w:val="26"/>
        </w:rPr>
        <w:t xml:space="preserve"> </w:t>
      </w:r>
      <w:r>
        <w:rPr>
          <w:noProof/>
          <w:szCs w:val="26"/>
        </w:rPr>
        <w:t xml:space="preserve">respectively, </w:t>
      </w:r>
      <w:r w:rsidRPr="00310C67">
        <w:rPr>
          <w:noProof/>
          <w:szCs w:val="26"/>
        </w:rPr>
        <w:t xml:space="preserve">set out the rules for implementing and monitoring an agricultural emissions avoidance project under the CFI to </w:t>
      </w:r>
      <w:r>
        <w:rPr>
          <w:noProof/>
          <w:szCs w:val="26"/>
        </w:rPr>
        <w:t>capture biogas generated from dairy farms; and to</w:t>
      </w:r>
      <w:r>
        <w:rPr>
          <w:noProof/>
          <w:sz w:val="24"/>
          <w:szCs w:val="24"/>
        </w:rPr>
        <w:t xml:space="preserve"> </w:t>
      </w:r>
      <w:r w:rsidRPr="00310C67">
        <w:rPr>
          <w:noProof/>
          <w:szCs w:val="26"/>
        </w:rPr>
        <w:t xml:space="preserve">reduce the methane generated from manure in conventional piggeries. </w:t>
      </w:r>
      <w:r>
        <w:rPr>
          <w:noProof/>
          <w:szCs w:val="26"/>
        </w:rPr>
        <w:t>Subsection 3.5(4) of the first determination (</w:t>
      </w:r>
      <w:r w:rsidRPr="000E6FB5">
        <w:t>F2012L02571</w:t>
      </w:r>
      <w:r>
        <w:rPr>
          <w:noProof/>
          <w:szCs w:val="26"/>
        </w:rPr>
        <w:t xml:space="preserve">) setting out one </w:t>
      </w:r>
      <w:r>
        <w:rPr>
          <w:noProof/>
          <w:szCs w:val="26"/>
        </w:rPr>
        <w:lastRenderedPageBreak/>
        <w:t>of the methods for measuring solids removal efficiency of the dairy production system; and the table</w:t>
      </w:r>
      <w:r w:rsidRPr="00310C67">
        <w:rPr>
          <w:noProof/>
          <w:szCs w:val="26"/>
        </w:rPr>
        <w:t xml:space="preserve"> in section 5.2</w:t>
      </w:r>
      <w:r>
        <w:rPr>
          <w:noProof/>
          <w:szCs w:val="26"/>
        </w:rPr>
        <w:t xml:space="preserve"> of the second determination (F2013L00124)</w:t>
      </w:r>
      <w:r w:rsidRPr="00310C67">
        <w:rPr>
          <w:noProof/>
          <w:szCs w:val="26"/>
        </w:rPr>
        <w:t>, setting out matters which must be measured for the purposes of calculating baseline emissions, require that certain parameters must be 'sampled on enough occasions to produce an unbiased, representative sample'. While the</w:t>
      </w:r>
      <w:r>
        <w:rPr>
          <w:noProof/>
          <w:szCs w:val="26"/>
        </w:rPr>
        <w:t xml:space="preserve"> committee recognises that ther</w:t>
      </w:r>
      <w:r w:rsidRPr="00310C67">
        <w:rPr>
          <w:noProof/>
          <w:szCs w:val="26"/>
        </w:rPr>
        <w:t xml:space="preserve">e may be a legitimate reason for drafting the requirement in such broad terms, </w:t>
      </w:r>
      <w:r>
        <w:rPr>
          <w:noProof/>
          <w:szCs w:val="26"/>
        </w:rPr>
        <w:t xml:space="preserve">it considers that this </w:t>
      </w:r>
      <w:r w:rsidRPr="00310C67">
        <w:rPr>
          <w:noProof/>
          <w:szCs w:val="26"/>
        </w:rPr>
        <w:t>could be a potentially uncertain requirement.</w:t>
      </w:r>
      <w:r>
        <w:rPr>
          <w:noProof/>
          <w:szCs w:val="26"/>
        </w:rPr>
        <w:t xml:space="preserve"> </w:t>
      </w:r>
      <w:r w:rsidRPr="00D91296">
        <w:rPr>
          <w:b/>
          <w:noProof/>
          <w:szCs w:val="26"/>
        </w:rPr>
        <w:t xml:space="preserve">The committee will therefore seek further information from the </w:t>
      </w:r>
      <w:r>
        <w:rPr>
          <w:b/>
          <w:noProof/>
          <w:szCs w:val="26"/>
        </w:rPr>
        <w:t>p</w:t>
      </w:r>
      <w:r w:rsidRPr="002C5DAE">
        <w:rPr>
          <w:b/>
          <w:noProof/>
          <w:szCs w:val="26"/>
        </w:rPr>
        <w:t xml:space="preserve">arliamentary </w:t>
      </w:r>
      <w:r>
        <w:rPr>
          <w:b/>
          <w:noProof/>
          <w:szCs w:val="26"/>
        </w:rPr>
        <w:t>s</w:t>
      </w:r>
      <w:r w:rsidRPr="002C5DAE">
        <w:rPr>
          <w:b/>
          <w:noProof/>
          <w:szCs w:val="26"/>
        </w:rPr>
        <w:t>ecretary</w:t>
      </w:r>
      <w:r w:rsidRPr="00310C67">
        <w:rPr>
          <w:noProof/>
          <w:szCs w:val="26"/>
        </w:rPr>
        <w:t>.</w:t>
      </w:r>
    </w:p>
    <w:p w:rsidR="001E0AC1" w:rsidRPr="00B54538" w:rsidRDefault="001E0AC1" w:rsidP="009F02ED">
      <w:pPr>
        <w:pStyle w:val="Heading3"/>
        <w:spacing w:before="360"/>
      </w:pPr>
      <w:r w:rsidRPr="00310C67">
        <w:rPr>
          <w:noProof/>
        </w:rPr>
        <w:t>CASA EX180/12 - Exemption - maintenance on limited category and experimental aircraft</w:t>
      </w:r>
      <w:r>
        <w:rPr>
          <w:noProof/>
        </w:rPr>
        <w:t xml:space="preserve"> </w:t>
      </w:r>
      <w:r>
        <w:t>[F2013L00096]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Exempts persons carrying out maintenance on limited category or experimental aircraft from compliance with the requirements of regulation 42U and paragraphs 42W(2)(b), (4)(a) and (4)(c) of the Civil Aviation Regulations 1988, subjec</w:t>
            </w:r>
            <w:r>
              <w:rPr>
                <w:rFonts w:ascii="Times New Roman" w:hAnsi="Times New Roman"/>
                <w:noProof/>
                <w:sz w:val="24"/>
                <w:szCs w:val="24"/>
              </w:rPr>
              <w:t>t to conditions and limitations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 xml:space="preserve">regarding </w:t>
      </w:r>
      <w:r w:rsidRPr="00310C67">
        <w:rPr>
          <w:noProof/>
        </w:rPr>
        <w:t>consultation</w:t>
      </w:r>
    </w:p>
    <w:p w:rsidR="001E0AC1" w:rsidRPr="00310C67" w:rsidRDefault="001E0AC1" w:rsidP="001E0AC1">
      <w:pPr>
        <w:pStyle w:val="Level1"/>
        <w:numPr>
          <w:ilvl w:val="0"/>
          <w:numId w:val="0"/>
        </w:numPr>
        <w:rPr>
          <w:noProof/>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310C67">
        <w:rPr>
          <w:noProof/>
        </w:rPr>
        <w:t>:</w:t>
      </w:r>
    </w:p>
    <w:p w:rsidR="001E0AC1" w:rsidRPr="00310C67" w:rsidRDefault="001E0AC1" w:rsidP="001E0AC1">
      <w:pPr>
        <w:pStyle w:val="Quote"/>
        <w:rPr>
          <w:noProof/>
        </w:rPr>
      </w:pPr>
      <w:r w:rsidRPr="00310C67">
        <w:rPr>
          <w:noProof/>
        </w:rPr>
        <w:t>Consultation under section 17 of the LIA has not been undertaken in this case. The exemption is a re-issue of CASA EX11/11 with changes made to reflect changes to the Regulations since that exemption was granted.</w:t>
      </w:r>
    </w:p>
    <w:p w:rsidR="001E0AC1" w:rsidRDefault="001E0AC1" w:rsidP="001E0AC1">
      <w:pPr>
        <w:rPr>
          <w:noProof/>
          <w:szCs w:val="26"/>
        </w:rPr>
      </w:pP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instrument maker that consultation was 'unnecessary' or 'inappropriate' (as provided for by section 18).</w:t>
      </w:r>
      <w:r w:rsidRPr="00134E6B">
        <w:rPr>
          <w:b/>
          <w:noProof/>
          <w:szCs w:val="26"/>
        </w:rPr>
        <w:t xml:space="preserve"> The committee </w:t>
      </w:r>
      <w:r>
        <w:rPr>
          <w:b/>
          <w:noProof/>
          <w:szCs w:val="26"/>
        </w:rPr>
        <w:t xml:space="preserve">will therefore </w:t>
      </w:r>
      <w:r w:rsidRPr="00134E6B">
        <w:rPr>
          <w:b/>
          <w:noProof/>
          <w:szCs w:val="26"/>
        </w:rPr>
        <w:t>seek further information from the minister</w:t>
      </w:r>
      <w:r>
        <w:rPr>
          <w:b/>
          <w:noProof/>
          <w:szCs w:val="26"/>
        </w:rPr>
        <w:t xml:space="preserve"> </w:t>
      </w:r>
      <w:r w:rsidRPr="00940F8E">
        <w:rPr>
          <w:b/>
          <w:noProof/>
        </w:rPr>
        <w:t xml:space="preserve">and request that the ES be updated in accordance with the requirements of the </w:t>
      </w:r>
      <w:r w:rsidRPr="00E2599D">
        <w:rPr>
          <w:b/>
          <w:i/>
          <w:noProof/>
        </w:rPr>
        <w:t>Legislative Instruments Act 2003</w:t>
      </w:r>
      <w:r w:rsidRPr="00310C67">
        <w:rPr>
          <w:noProof/>
          <w:szCs w:val="26"/>
        </w:rPr>
        <w:t>.</w:t>
      </w:r>
    </w:p>
    <w:p w:rsidR="001E0AC1" w:rsidRDefault="001E0AC1" w:rsidP="001E0AC1">
      <w:pPr>
        <w:pStyle w:val="Heading3"/>
        <w:rPr>
          <w:noProof/>
        </w:rPr>
      </w:pPr>
      <w:r w:rsidRPr="00310C67">
        <w:rPr>
          <w:noProof/>
        </w:rPr>
        <w:lastRenderedPageBreak/>
        <w:t>CASA EX01/13 - Exemption - recency requirements for night flying (Alliance Airlines Pty Limited)</w:t>
      </w:r>
      <w:r>
        <w:rPr>
          <w:noProof/>
        </w:rPr>
        <w:t xml:space="preserve"> </w:t>
      </w:r>
      <w:r w:rsidRPr="000F0C29">
        <w:t>[F2013L00114]</w:t>
      </w:r>
      <w:r>
        <w:rPr>
          <w:noProof/>
        </w:rPr>
        <w:t>; and</w:t>
      </w:r>
    </w:p>
    <w:p w:rsidR="001E0AC1" w:rsidRPr="00B54538" w:rsidRDefault="001E0AC1" w:rsidP="001E0AC1">
      <w:pPr>
        <w:pStyle w:val="Heading3"/>
      </w:pPr>
      <w:r w:rsidRPr="00310C67">
        <w:rPr>
          <w:noProof/>
        </w:rPr>
        <w:t xml:space="preserve">CASA EX08/13 - Exemption - from standard take-off and landing minima - DHL Air </w:t>
      </w:r>
      <w:r>
        <w:rPr>
          <w:noProof/>
        </w:rPr>
        <w:t xml:space="preserve">Limited </w:t>
      </w:r>
      <w:r w:rsidRPr="000F0C29">
        <w:t>[F2013L00145]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noProof/>
                <w:sz w:val="24"/>
                <w:szCs w:val="24"/>
              </w:rPr>
              <w:t>(1) Exe</w:t>
            </w:r>
            <w:r w:rsidRPr="00310C67">
              <w:rPr>
                <w:rFonts w:ascii="Times New Roman" w:hAnsi="Times New Roman"/>
                <w:noProof/>
                <w:sz w:val="24"/>
                <w:szCs w:val="24"/>
              </w:rPr>
              <w:t>mpts the pilot in command flying for Alliance Airlines Pty Ltd from compliance with paragraphs 5.109 (1) (b) and 5.170 (1) (b) of the Civil Aviation Regulations 1988 to update their night recency requirem</w:t>
            </w:r>
            <w:r>
              <w:rPr>
                <w:rFonts w:ascii="Times New Roman" w:hAnsi="Times New Roman"/>
                <w:noProof/>
                <w:sz w:val="24"/>
                <w:szCs w:val="24"/>
              </w:rPr>
              <w:t xml:space="preserve">ents by using flight simulators; and (2) </w:t>
            </w:r>
            <w:r w:rsidRPr="00310C67">
              <w:rPr>
                <w:rFonts w:ascii="Times New Roman" w:hAnsi="Times New Roman"/>
                <w:noProof/>
                <w:sz w:val="24"/>
                <w:szCs w:val="24"/>
              </w:rPr>
              <w:t>Allows DHL Air Ltd to continue to conduct take-offs and landings in meteorological conditions below the stand</w:t>
            </w:r>
            <w:r>
              <w:rPr>
                <w:rFonts w:ascii="Times New Roman" w:hAnsi="Times New Roman"/>
                <w:noProof/>
                <w:sz w:val="24"/>
                <w:szCs w:val="24"/>
              </w:rPr>
              <w:t>ard take-off and landing minima</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 and 16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Civil Aviation Safety Regulations 1998</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Infrastructure and Transport</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Default="001E0AC1" w:rsidP="001E0AC1">
      <w:pPr>
        <w:pStyle w:val="Level1"/>
        <w:numPr>
          <w:ilvl w:val="0"/>
          <w:numId w:val="0"/>
        </w:numPr>
        <w:rPr>
          <w:noProof/>
          <w:szCs w:val="26"/>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E2599D">
        <w:rPr>
          <w:noProof/>
          <w:szCs w:val="26"/>
        </w:rPr>
        <w:t xml:space="preserve"> only </w:t>
      </w:r>
      <w:r w:rsidRPr="00310C67">
        <w:rPr>
          <w:noProof/>
        </w:rPr>
        <w:t xml:space="preserve">that </w:t>
      </w:r>
      <w:r w:rsidRPr="001E0458">
        <w:rPr>
          <w:noProof/>
        </w:rPr>
        <w:t>consultation was not undertaken, that the operators had requested the exemption to replace previous exemptions and that the instruments are in the same terms as 'many instruments issued to foreign operators'.</w:t>
      </w:r>
      <w:r>
        <w:rPr>
          <w:noProof/>
        </w:rPr>
        <w:t xml:space="preserve"> </w:t>
      </w:r>
      <w:r w:rsidRPr="007F49E1">
        <w:rPr>
          <w:noProof/>
          <w:szCs w:val="26"/>
        </w:rPr>
        <w:t>It</w:t>
      </w:r>
      <w:r>
        <w:rPr>
          <w:noProof/>
          <w:szCs w:val="26"/>
        </w:rPr>
        <w:t xml:space="preserve"> is not clear to the committee how, of itself, the stated reason for not consulting in relation to the making of the instrument necessarily relates to a conclusion by the rule maker that consultation was 'unnecessary' or 'inappropriate' (as provided for by section 18).</w:t>
      </w:r>
      <w:r w:rsidRPr="00134E6B">
        <w:rPr>
          <w:b/>
          <w:noProof/>
          <w:szCs w:val="26"/>
        </w:rPr>
        <w:t xml:space="preserve"> The committee </w:t>
      </w:r>
      <w:r>
        <w:rPr>
          <w:b/>
          <w:noProof/>
          <w:szCs w:val="26"/>
        </w:rPr>
        <w:t xml:space="preserve">will therefore </w:t>
      </w:r>
      <w:r w:rsidRPr="00134E6B">
        <w:rPr>
          <w:b/>
          <w:noProof/>
          <w:szCs w:val="26"/>
        </w:rPr>
        <w:t>seek further information from the minister</w:t>
      </w:r>
      <w:r>
        <w:rPr>
          <w:b/>
          <w:noProof/>
          <w:szCs w:val="26"/>
        </w:rPr>
        <w:t xml:space="preserve"> </w:t>
      </w:r>
      <w:r w:rsidRPr="00940F8E">
        <w:rPr>
          <w:b/>
          <w:noProof/>
        </w:rPr>
        <w:t xml:space="preserve">and request that the ES be updated in accordance with the requirements of the </w:t>
      </w:r>
      <w:r w:rsidRPr="00E2599D">
        <w:rPr>
          <w:b/>
          <w:i/>
          <w:noProof/>
        </w:rPr>
        <w:t>Legislative Instruments Act 2003</w:t>
      </w:r>
      <w:r w:rsidRPr="00310C67">
        <w:rPr>
          <w:noProof/>
          <w:szCs w:val="26"/>
        </w:rPr>
        <w:t>.</w:t>
      </w:r>
    </w:p>
    <w:p w:rsidR="001E0AC1" w:rsidRDefault="001E0AC1" w:rsidP="001E0AC1">
      <w:pPr>
        <w:spacing w:after="0"/>
        <w:jc w:val="left"/>
        <w:rPr>
          <w:b/>
          <w:noProof/>
          <w:sz w:val="28"/>
        </w:rPr>
      </w:pPr>
      <w:r>
        <w:rPr>
          <w:noProof/>
        </w:rPr>
        <w:br w:type="page"/>
      </w:r>
    </w:p>
    <w:p w:rsidR="001E0AC1" w:rsidRPr="00B54538" w:rsidRDefault="001E0AC1" w:rsidP="009F02ED">
      <w:pPr>
        <w:pStyle w:val="Heading3"/>
      </w:pPr>
      <w:r w:rsidRPr="00310C67">
        <w:rPr>
          <w:noProof/>
        </w:rPr>
        <w:lastRenderedPageBreak/>
        <w:t xml:space="preserve">Customs Act 1901 - Amendment of Approved Statement Instrument No. 6 of 2013 - Amendment of "Self-Assessed Clearance Declaration (Sea) (To Be Communicated With a Cargo Report)" </w:t>
      </w:r>
      <w:r>
        <w:rPr>
          <w:noProof/>
        </w:rPr>
        <w:t>[F2013L00142]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Amends the Customs Act 1901 - CEO Instrument of Approval No. 4 of 2006 to update references and the spec</w:t>
            </w:r>
            <w:r>
              <w:rPr>
                <w:rFonts w:ascii="Times New Roman" w:hAnsi="Times New Roman"/>
                <w:noProof/>
                <w:sz w:val="24"/>
                <w:szCs w:val="24"/>
              </w:rPr>
              <w:t>ified low value goods threshold</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16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FB2C50" w:rsidRDefault="001E0AC1" w:rsidP="001E0AC1">
            <w:pPr>
              <w:pStyle w:val="letterheadbody"/>
              <w:spacing w:line="264" w:lineRule="auto"/>
              <w:ind w:left="0"/>
              <w:rPr>
                <w:rFonts w:ascii="Times New Roman" w:hAnsi="Times New Roman"/>
                <w:i/>
                <w:sz w:val="24"/>
                <w:szCs w:val="24"/>
              </w:rPr>
            </w:pPr>
            <w:r w:rsidRPr="00FB2C50">
              <w:rPr>
                <w:rFonts w:ascii="Times New Roman" w:hAnsi="Times New Roman"/>
                <w:i/>
                <w:noProof/>
                <w:sz w:val="24"/>
                <w:szCs w:val="24"/>
              </w:rPr>
              <w:t>Customs Act 1901</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Attorney-General's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Pr="00310C67" w:rsidRDefault="001E0AC1" w:rsidP="001E0AC1">
      <w:pPr>
        <w:rPr>
          <w:noProof/>
          <w:szCs w:val="26"/>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r w:rsidRPr="00310C67">
        <w:rPr>
          <w:noProof/>
          <w:szCs w:val="26"/>
        </w:rPr>
        <w:t>:</w:t>
      </w:r>
    </w:p>
    <w:p w:rsidR="001E0AC1" w:rsidRPr="00310C67" w:rsidRDefault="001E0AC1" w:rsidP="001E0AC1">
      <w:pPr>
        <w:pStyle w:val="Quote"/>
        <w:rPr>
          <w:noProof/>
        </w:rPr>
      </w:pPr>
      <w:r w:rsidRPr="00310C67">
        <w:rPr>
          <w:noProof/>
        </w:rPr>
        <w:t>No consultation was undertaken under section 17 of the Legislative Instruments Act 2003 before this instrument was made as it is of a minor or machinery nature and does not substantially alter existing arrangements.</w:t>
      </w:r>
    </w:p>
    <w:p w:rsidR="001E0AC1" w:rsidRPr="00246FF8" w:rsidRDefault="001E0AC1" w:rsidP="001E0AC1">
      <w:pPr>
        <w:rPr>
          <w:noProof/>
          <w:szCs w:val="26"/>
        </w:rPr>
      </w:pPr>
      <w:r>
        <w:rPr>
          <w:noProof/>
          <w:szCs w:val="26"/>
        </w:rPr>
        <w:t>However,</w:t>
      </w:r>
      <w:r w:rsidRPr="00310C67">
        <w:rPr>
          <w:noProof/>
          <w:szCs w:val="26"/>
        </w:rPr>
        <w:t xml:space="preserve"> th</w:t>
      </w:r>
      <w:r>
        <w:rPr>
          <w:noProof/>
          <w:szCs w:val="26"/>
        </w:rPr>
        <w:t>e</w:t>
      </w:r>
      <w:r w:rsidRPr="00310C67">
        <w:rPr>
          <w:noProof/>
          <w:szCs w:val="26"/>
        </w:rPr>
        <w:t xml:space="preserve"> instrument appears to make very similar changes to those made by Customs Act 1901 - Amendment of Approved Statement Instrument No. 2 of 2013 - Amendment of "Self-Assessed Clearance Declaration (Air) (To be Communicated with a Cargo Report)" [F2013L00134], for which the </w:t>
      </w:r>
      <w:r>
        <w:rPr>
          <w:noProof/>
          <w:szCs w:val="26"/>
        </w:rPr>
        <w:t>ES identified consultation as having taken place with t</w:t>
      </w:r>
      <w:r w:rsidRPr="00310C67">
        <w:rPr>
          <w:noProof/>
          <w:szCs w:val="26"/>
        </w:rPr>
        <w:t xml:space="preserve">he Conference of Asia Pacific Air. </w:t>
      </w:r>
      <w:r>
        <w:rPr>
          <w:noProof/>
          <w:szCs w:val="26"/>
        </w:rPr>
        <w:t xml:space="preserve">Given the similarity between the instruments, the committee considers that is unclear as to why consultation was not considered necessary or appropriate in the case of the current instrument. </w:t>
      </w:r>
      <w:r w:rsidRPr="00134E6B">
        <w:rPr>
          <w:b/>
          <w:noProof/>
          <w:szCs w:val="26"/>
        </w:rPr>
        <w:t xml:space="preserve">The committee </w:t>
      </w:r>
      <w:r>
        <w:rPr>
          <w:b/>
          <w:noProof/>
          <w:szCs w:val="26"/>
        </w:rPr>
        <w:t xml:space="preserve">will therefore </w:t>
      </w:r>
      <w:r w:rsidRPr="00134E6B">
        <w:rPr>
          <w:b/>
          <w:noProof/>
          <w:szCs w:val="26"/>
        </w:rPr>
        <w:t>seek further information from the minister</w:t>
      </w:r>
      <w:r>
        <w:rPr>
          <w:noProof/>
          <w:szCs w:val="26"/>
        </w:rPr>
        <w:t>.</w:t>
      </w:r>
    </w:p>
    <w:p w:rsidR="001E0AC1" w:rsidRDefault="001E0AC1" w:rsidP="009F02ED">
      <w:pPr>
        <w:spacing w:after="0"/>
        <w:jc w:val="left"/>
        <w:rPr>
          <w:b/>
          <w:noProof/>
          <w:sz w:val="28"/>
        </w:rPr>
      </w:pPr>
      <w:r>
        <w:rPr>
          <w:noProof/>
        </w:rPr>
        <w:br w:type="page"/>
      </w:r>
    </w:p>
    <w:p w:rsidR="001E0AC1" w:rsidRPr="00B54538" w:rsidRDefault="001E0AC1" w:rsidP="009F02ED">
      <w:pPr>
        <w:pStyle w:val="Heading3"/>
        <w:spacing w:before="0"/>
      </w:pPr>
      <w:r w:rsidRPr="00310C67">
        <w:rPr>
          <w:noProof/>
        </w:rPr>
        <w:lastRenderedPageBreak/>
        <w:t>Amendment of List of Exempt Native Specimens - Pandanus spiralis (18/12/2012)</w:t>
      </w:r>
      <w:r>
        <w:rPr>
          <w:noProof/>
        </w:rPr>
        <w:t xml:space="preserve"> </w:t>
      </w:r>
      <w:r>
        <w:t>[F2013L00107]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 xml:space="preserve">Amends the List of Exempt Native Specimens (29/11/2001) by adding </w:t>
            </w:r>
            <w:r w:rsidRPr="00246FF8">
              <w:rPr>
                <w:rFonts w:ascii="Times New Roman" w:hAnsi="Times New Roman"/>
                <w:i/>
                <w:noProof/>
                <w:sz w:val="24"/>
                <w:szCs w:val="24"/>
              </w:rPr>
              <w:t>Pandanus spiralis</w:t>
            </w:r>
            <w:r>
              <w:rPr>
                <w:rFonts w:ascii="Times New Roman" w:hAnsi="Times New Roman"/>
                <w:noProof/>
                <w:sz w:val="24"/>
                <w:szCs w:val="24"/>
              </w:rPr>
              <w:t xml:space="preserve"> to the list</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246FF8" w:rsidRDefault="001E0AC1" w:rsidP="001E0AC1">
            <w:pPr>
              <w:pStyle w:val="letterheadbody"/>
              <w:spacing w:line="264" w:lineRule="auto"/>
              <w:ind w:left="0"/>
              <w:rPr>
                <w:rFonts w:ascii="Times New Roman" w:hAnsi="Times New Roman"/>
                <w:i/>
                <w:sz w:val="24"/>
                <w:szCs w:val="24"/>
              </w:rPr>
            </w:pPr>
            <w:r w:rsidRPr="00246FF8">
              <w:rPr>
                <w:rFonts w:ascii="Times New Roman" w:hAnsi="Times New Roman"/>
                <w:i/>
                <w:noProof/>
                <w:sz w:val="24"/>
                <w:szCs w:val="24"/>
              </w:rPr>
              <w:t>Environment Protection and Biodiversity Conservation Act 1999</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Sustainability, Environment, Water, Population and Communities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regarding</w:t>
      </w:r>
      <w:r w:rsidRPr="00310C67">
        <w:rPr>
          <w:noProof/>
        </w:rPr>
        <w:t xml:space="preserve"> consultation</w:t>
      </w:r>
    </w:p>
    <w:p w:rsidR="001E0AC1" w:rsidRDefault="001E0AC1" w:rsidP="001E0AC1">
      <w:pPr>
        <w:pStyle w:val="Level1"/>
        <w:numPr>
          <w:ilvl w:val="0"/>
          <w:numId w:val="0"/>
        </w:numPr>
        <w:rPr>
          <w:noProof/>
          <w:szCs w:val="26"/>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 xml:space="preserve">the instrument </w:t>
      </w:r>
      <w:r w:rsidRPr="00310C67">
        <w:rPr>
          <w:noProof/>
        </w:rPr>
        <w:t xml:space="preserve">provides </w:t>
      </w:r>
      <w:r>
        <w:rPr>
          <w:noProof/>
        </w:rPr>
        <w:t xml:space="preserve">a substantial description of nature of consultation undertaken into the making of the instrument. However, a reference to </w:t>
      </w:r>
      <w:r w:rsidRPr="00310C67">
        <w:rPr>
          <w:noProof/>
        </w:rPr>
        <w:t xml:space="preserve">the </w:t>
      </w:r>
      <w:r>
        <w:rPr>
          <w:noProof/>
        </w:rPr>
        <w:t>'</w:t>
      </w:r>
      <w:r w:rsidRPr="00310C67">
        <w:rPr>
          <w:noProof/>
          <w:szCs w:val="26"/>
        </w:rPr>
        <w:t>relevant state department</w:t>
      </w:r>
      <w:r>
        <w:rPr>
          <w:noProof/>
          <w:szCs w:val="26"/>
        </w:rPr>
        <w:t xml:space="preserve">' is unclear, as the committee is not able to determine which department is referred to on the face of the instrument and more generally. </w:t>
      </w:r>
      <w:r w:rsidRPr="00134E6B">
        <w:rPr>
          <w:b/>
          <w:noProof/>
          <w:szCs w:val="26"/>
        </w:rPr>
        <w:t xml:space="preserve">The committee </w:t>
      </w:r>
      <w:r>
        <w:rPr>
          <w:b/>
          <w:noProof/>
          <w:szCs w:val="26"/>
        </w:rPr>
        <w:t xml:space="preserve">will therefore </w:t>
      </w:r>
      <w:r w:rsidRPr="00134E6B">
        <w:rPr>
          <w:b/>
          <w:noProof/>
          <w:szCs w:val="26"/>
        </w:rPr>
        <w:t>seek further information from the minister</w:t>
      </w:r>
      <w:r>
        <w:rPr>
          <w:noProof/>
          <w:szCs w:val="26"/>
        </w:rPr>
        <w:t>.</w:t>
      </w:r>
    </w:p>
    <w:p w:rsidR="001E0AC1" w:rsidRPr="00B54538" w:rsidRDefault="001E0AC1" w:rsidP="009F02ED">
      <w:pPr>
        <w:pStyle w:val="Heading4"/>
        <w:numPr>
          <w:ilvl w:val="3"/>
          <w:numId w:val="21"/>
        </w:numPr>
        <w:spacing w:before="240" w:after="120"/>
      </w:pPr>
      <w:r w:rsidRPr="00CE3B1D">
        <w:rPr>
          <w:i w:val="0"/>
          <w:noProof/>
          <w:sz w:val="28"/>
          <w:szCs w:val="28"/>
        </w:rPr>
        <w:t xml:space="preserve">Amendment - List of Specimens Taken to be suitable for Live Import (03/01/2013) </w:t>
      </w:r>
      <w:r w:rsidRPr="00ED2458">
        <w:rPr>
          <w:i w:val="0"/>
        </w:rPr>
        <w:t>[F2013L00105</w:t>
      </w:r>
      <w:r>
        <w:rPr>
          <w:i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Amends the List of Specimens Taken to be Suitable for Live Import (29/11/2001) to update the scientific name for the sucker catfish</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246FF8" w:rsidRDefault="001E0AC1" w:rsidP="001E0AC1">
            <w:pPr>
              <w:pStyle w:val="letterheadbody"/>
              <w:spacing w:line="264" w:lineRule="auto"/>
              <w:ind w:left="0"/>
              <w:rPr>
                <w:rFonts w:ascii="Times New Roman" w:hAnsi="Times New Roman"/>
                <w:i/>
                <w:sz w:val="24"/>
                <w:szCs w:val="24"/>
              </w:rPr>
            </w:pPr>
            <w:r w:rsidRPr="00246FF8">
              <w:rPr>
                <w:rFonts w:ascii="Times New Roman" w:hAnsi="Times New Roman"/>
                <w:i/>
                <w:noProof/>
                <w:sz w:val="24"/>
                <w:szCs w:val="24"/>
              </w:rPr>
              <w:t>Environment Protection and Biodiversity Conservation Act 1999</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Sustainability, Environment, Water, Population and Communities</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No information provided </w:t>
      </w:r>
      <w:r>
        <w:rPr>
          <w:noProof/>
        </w:rPr>
        <w:t xml:space="preserve">regarding </w:t>
      </w:r>
      <w:r w:rsidRPr="00310C67">
        <w:rPr>
          <w:noProof/>
        </w:rPr>
        <w:t>consultation</w:t>
      </w:r>
    </w:p>
    <w:p w:rsidR="001E0AC1" w:rsidRDefault="001E0AC1" w:rsidP="001E0AC1">
      <w:pPr>
        <w:rPr>
          <w:noProof/>
        </w:rPr>
      </w:pPr>
      <w:r w:rsidRPr="00AE3138">
        <w:rPr>
          <w:noProof/>
          <w:szCs w:val="26"/>
        </w:rPr>
        <w:t xml:space="preserve">Section 17 of the </w:t>
      </w:r>
      <w:r w:rsidRPr="00AE3138">
        <w:rPr>
          <w:i/>
          <w:noProof/>
          <w:szCs w:val="26"/>
        </w:rPr>
        <w:t>Legislative Instruments Act 2003</w:t>
      </w:r>
      <w:r>
        <w:rPr>
          <w:i/>
          <w:noProof/>
          <w:szCs w:val="26"/>
        </w:rPr>
        <w:t xml:space="preserve"> </w:t>
      </w:r>
      <w:r w:rsidRPr="00AE3138">
        <w:rPr>
          <w:noProof/>
          <w:szCs w:val="26"/>
        </w:rPr>
        <w:t xml:space="preserve">directs a rule-maker to be satisfied that appropriate consultation, as is reasonably practicable, has been undertaken in relation to a proposed instrument, particularly where that instrument is likely to have an effect on business. Section 18 of the Act, however, provides that in some circumstances such consultation may be unnecessary or inappropriate. The ES which must accompany an instrument is required to describe the nature of any consultation </w:t>
      </w:r>
      <w:r w:rsidRPr="00AE3138">
        <w:rPr>
          <w:noProof/>
          <w:szCs w:val="26"/>
        </w:rPr>
        <w:lastRenderedPageBreak/>
        <w:t>that has been carried out or, if there has been no consultation, to explain why none was undertaken (section 26).</w:t>
      </w:r>
      <w:r>
        <w:rPr>
          <w:noProof/>
          <w:szCs w:val="26"/>
        </w:rPr>
        <w:t xml:space="preserve"> </w:t>
      </w:r>
      <w:r w:rsidRPr="00AE3138">
        <w:rPr>
          <w:noProof/>
          <w:szCs w:val="26"/>
        </w:rPr>
        <w:t xml:space="preserve">With reference to these requirements, the committee notes that the ES accompanying the </w:t>
      </w:r>
      <w:r>
        <w:rPr>
          <w:noProof/>
          <w:szCs w:val="26"/>
        </w:rPr>
        <w:t xml:space="preserve">instrument contains no reference to consultation.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 and request that the ES be updated in accordance with the requirements of the </w:t>
      </w:r>
      <w:r w:rsidRPr="00E2599D">
        <w:rPr>
          <w:b/>
          <w:i/>
          <w:noProof/>
        </w:rPr>
        <w:t>Legislative Instruments Act 2003</w:t>
      </w:r>
      <w:r>
        <w:rPr>
          <w:noProof/>
        </w:rPr>
        <w:t>.</w:t>
      </w:r>
    </w:p>
    <w:p w:rsidR="001E0AC1" w:rsidRPr="00B54538" w:rsidRDefault="001E0AC1" w:rsidP="00EC5913">
      <w:pPr>
        <w:pStyle w:val="Heading3"/>
        <w:spacing w:before="360"/>
      </w:pPr>
      <w:r w:rsidRPr="00310C67">
        <w:rPr>
          <w:noProof/>
        </w:rPr>
        <w:t xml:space="preserve">Levy Amount Formula Modification Determination 2013 </w:t>
      </w:r>
      <w:r>
        <w:rPr>
          <w:noProof/>
        </w:rPr>
        <w:t>[</w:t>
      </w:r>
      <w:r w:rsidRPr="00310C67">
        <w:rPr>
          <w:noProof/>
        </w:rPr>
        <w:t>F2013L00158</w:t>
      </w:r>
      <w:r>
        <w:rPr>
          <w:noProo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Modifies the formula by which a levy amount is calculated for a participating persons in the first or second eligible revenue period to provide for the calculations to be adjusted in the event that a participating person goes into receivership, liquidation, general administration or ceases to exist.</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17 June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ED2458" w:rsidRDefault="001E0AC1" w:rsidP="001E0AC1">
            <w:pPr>
              <w:pStyle w:val="letterheadbody"/>
              <w:spacing w:line="264" w:lineRule="auto"/>
              <w:ind w:left="0"/>
              <w:rPr>
                <w:rFonts w:ascii="Times New Roman" w:hAnsi="Times New Roman"/>
                <w:i/>
                <w:sz w:val="24"/>
                <w:szCs w:val="24"/>
              </w:rPr>
            </w:pPr>
            <w:r w:rsidRPr="00ED2458">
              <w:rPr>
                <w:rFonts w:ascii="Times New Roman" w:hAnsi="Times New Roman"/>
                <w:i/>
                <w:noProof/>
                <w:sz w:val="24"/>
                <w:szCs w:val="24"/>
              </w:rPr>
              <w:t>Telecommunications Universal Service Management Agency Act 2012</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Broadband, Communications and the Digital Economy</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Pr>
          <w:noProof/>
        </w:rPr>
        <w:t xml:space="preserve">Whether </w:t>
      </w:r>
      <w:r w:rsidRPr="00310C67">
        <w:rPr>
          <w:noProof/>
        </w:rPr>
        <w:t xml:space="preserve">instrument </w:t>
      </w:r>
      <w:r>
        <w:rPr>
          <w:noProof/>
        </w:rPr>
        <w:t xml:space="preserve">is </w:t>
      </w:r>
      <w:r w:rsidRPr="00310C67">
        <w:rPr>
          <w:noProof/>
        </w:rPr>
        <w:t>validly</w:t>
      </w:r>
      <w:r>
        <w:rPr>
          <w:noProof/>
        </w:rPr>
        <w:t xml:space="preserve"> made</w:t>
      </w:r>
    </w:p>
    <w:p w:rsidR="001E0AC1" w:rsidRDefault="001E0AC1" w:rsidP="001E0AC1">
      <w:pPr>
        <w:rPr>
          <w:noProof/>
        </w:rPr>
      </w:pPr>
      <w:r>
        <w:rPr>
          <w:noProof/>
          <w:szCs w:val="26"/>
        </w:rPr>
        <w:t>S</w:t>
      </w:r>
      <w:r w:rsidRPr="00ED2458">
        <w:rPr>
          <w:noProof/>
          <w:szCs w:val="26"/>
        </w:rPr>
        <w:t xml:space="preserve">ection 99 of the </w:t>
      </w:r>
      <w:r w:rsidRPr="00ED2458">
        <w:rPr>
          <w:i/>
          <w:noProof/>
          <w:szCs w:val="26"/>
        </w:rPr>
        <w:t xml:space="preserve">Telecommunications Universal Service Management Agency Act 2012 </w:t>
      </w:r>
      <w:r w:rsidRPr="00ED2458">
        <w:rPr>
          <w:noProof/>
          <w:szCs w:val="26"/>
        </w:rPr>
        <w:t>sets out a number of formulas for the setting of a levy amount applicable to a participating person</w:t>
      </w:r>
      <w:r>
        <w:rPr>
          <w:noProof/>
          <w:szCs w:val="26"/>
        </w:rPr>
        <w:t xml:space="preserve"> for an eligible revenue period,</w:t>
      </w:r>
      <w:r w:rsidRPr="00ED2458">
        <w:rPr>
          <w:noProof/>
          <w:szCs w:val="26"/>
        </w:rPr>
        <w:t xml:space="preserve"> and </w:t>
      </w:r>
      <w:r>
        <w:rPr>
          <w:noProof/>
          <w:szCs w:val="26"/>
        </w:rPr>
        <w:t xml:space="preserve">the </w:t>
      </w:r>
      <w:r w:rsidRPr="00ED2458">
        <w:rPr>
          <w:noProof/>
          <w:szCs w:val="26"/>
        </w:rPr>
        <w:t>instrument is made under subsection 99(8), which provides that the minister may, by legislative instrument, 'modify' the formula in subsection 99(3).</w:t>
      </w:r>
      <w:r>
        <w:rPr>
          <w:noProof/>
          <w:szCs w:val="26"/>
        </w:rPr>
        <w:t xml:space="preserve"> </w:t>
      </w:r>
      <w:r w:rsidRPr="00ED2458">
        <w:rPr>
          <w:noProof/>
          <w:szCs w:val="26"/>
        </w:rPr>
        <w:t xml:space="preserve">However, noting that the effect of this instrument is to wholly replace subsection 99(3) with four new subsections, the committee </w:t>
      </w:r>
      <w:r>
        <w:rPr>
          <w:noProof/>
          <w:szCs w:val="26"/>
        </w:rPr>
        <w:t xml:space="preserve">is unsure </w:t>
      </w:r>
      <w:r w:rsidRPr="00ED2458">
        <w:rPr>
          <w:noProof/>
          <w:szCs w:val="26"/>
        </w:rPr>
        <w:t>as to whether, on a strict interpretation, the power to 'modify the formula in subsection 99(3)' provides sufficient authority to wholly replace subsection</w:t>
      </w:r>
      <w:r>
        <w:rPr>
          <w:noProof/>
          <w:szCs w:val="26"/>
        </w:rPr>
        <w:t> </w:t>
      </w:r>
      <w:r w:rsidRPr="00ED2458">
        <w:rPr>
          <w:noProof/>
          <w:szCs w:val="26"/>
        </w:rPr>
        <w:t>99(3)</w:t>
      </w:r>
      <w:r>
        <w:rPr>
          <w:noProof/>
          <w:szCs w:val="26"/>
        </w:rPr>
        <w:t>,</w:t>
      </w:r>
      <w:r w:rsidRPr="00ED2458">
        <w:rPr>
          <w:noProof/>
          <w:szCs w:val="26"/>
        </w:rPr>
        <w:t xml:space="preserve"> as this instrument does or purports to do.</w:t>
      </w:r>
      <w:r>
        <w:rPr>
          <w:noProof/>
          <w:szCs w:val="26"/>
        </w:rPr>
        <w:t xml:space="preserve"> </w:t>
      </w:r>
      <w:r w:rsidRPr="00940F8E">
        <w:rPr>
          <w:b/>
          <w:noProof/>
        </w:rPr>
        <w:t xml:space="preserve">The committee will </w:t>
      </w:r>
      <w:r>
        <w:rPr>
          <w:b/>
          <w:noProof/>
        </w:rPr>
        <w:t xml:space="preserve">therefore </w:t>
      </w:r>
      <w:r w:rsidRPr="00940F8E">
        <w:rPr>
          <w:b/>
          <w:noProof/>
        </w:rPr>
        <w:t xml:space="preserve">seek </w:t>
      </w:r>
      <w:r>
        <w:rPr>
          <w:b/>
          <w:noProof/>
        </w:rPr>
        <w:t>further information</w:t>
      </w:r>
      <w:r w:rsidRPr="00940F8E">
        <w:rPr>
          <w:b/>
          <w:noProof/>
        </w:rPr>
        <w:t xml:space="preserve"> from the minister</w:t>
      </w:r>
      <w:r>
        <w:rPr>
          <w:noProof/>
        </w:rPr>
        <w:t>.</w:t>
      </w:r>
    </w:p>
    <w:p w:rsidR="001E0AC1" w:rsidRDefault="001E0AC1" w:rsidP="001E0AC1">
      <w:pPr>
        <w:spacing w:after="0"/>
        <w:jc w:val="left"/>
        <w:rPr>
          <w:b/>
          <w:noProof/>
          <w:sz w:val="28"/>
        </w:rPr>
      </w:pPr>
      <w:r>
        <w:rPr>
          <w:noProof/>
        </w:rPr>
        <w:br w:type="page"/>
      </w:r>
    </w:p>
    <w:p w:rsidR="001E0AC1" w:rsidRPr="00B54538" w:rsidRDefault="001E0AC1" w:rsidP="00EC5913">
      <w:pPr>
        <w:pStyle w:val="Heading3"/>
      </w:pPr>
      <w:r w:rsidRPr="00310C67">
        <w:rPr>
          <w:noProof/>
        </w:rPr>
        <w:lastRenderedPageBreak/>
        <w:t xml:space="preserve">Therapeutic Goods Information (Stakeholder Consultation on the System for Australian Recall Actions) Specification 2013 </w:t>
      </w:r>
      <w:r w:rsidRPr="00A04924">
        <w:t>[F2013L00117]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noProof/>
                <w:sz w:val="24"/>
                <w:szCs w:val="24"/>
              </w:rPr>
              <w:t>Permits the s</w:t>
            </w:r>
            <w:r w:rsidRPr="00310C67">
              <w:rPr>
                <w:rFonts w:ascii="Times New Roman" w:hAnsi="Times New Roman"/>
                <w:noProof/>
                <w:sz w:val="24"/>
                <w:szCs w:val="24"/>
              </w:rPr>
              <w:t xml:space="preserve">ecretary to release </w:t>
            </w:r>
            <w:r>
              <w:rPr>
                <w:rFonts w:ascii="Times New Roman" w:hAnsi="Times New Roman"/>
                <w:noProof/>
                <w:sz w:val="24"/>
                <w:szCs w:val="24"/>
              </w:rPr>
              <w:t xml:space="preserve">certain </w:t>
            </w:r>
            <w:r w:rsidRPr="00310C67">
              <w:rPr>
                <w:rFonts w:ascii="Times New Roman" w:hAnsi="Times New Roman"/>
                <w:noProof/>
                <w:sz w:val="24"/>
                <w:szCs w:val="24"/>
              </w:rPr>
              <w:t>therapeutic goods information to the persons and bodies mentioned in t</w:t>
            </w:r>
            <w:r>
              <w:rPr>
                <w:rFonts w:ascii="Times New Roman" w:hAnsi="Times New Roman"/>
                <w:noProof/>
                <w:sz w:val="24"/>
                <w:szCs w:val="24"/>
              </w:rPr>
              <w:t>he specification, for specified</w:t>
            </w:r>
            <w:r w:rsidRPr="00310C67">
              <w:rPr>
                <w:rFonts w:ascii="Times New Roman" w:hAnsi="Times New Roman"/>
                <w:noProof/>
                <w:sz w:val="24"/>
                <w:szCs w:val="24"/>
              </w:rPr>
              <w:t xml:space="preserve"> purposes</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Pr>
                <w:rFonts w:ascii="Times New Roman" w:hAnsi="Times New Roman"/>
                <w:sz w:val="24"/>
                <w:szCs w:val="24"/>
              </w:rPr>
              <w:t>15 May 2013</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1E0AC1" w:rsidRPr="006C55BA" w:rsidRDefault="001E0AC1" w:rsidP="001E0AC1">
            <w:pPr>
              <w:pStyle w:val="letterheadbody"/>
              <w:spacing w:line="264" w:lineRule="auto"/>
              <w:ind w:left="0"/>
              <w:rPr>
                <w:rFonts w:ascii="Times New Roman" w:hAnsi="Times New Roman"/>
                <w:i/>
                <w:sz w:val="24"/>
                <w:szCs w:val="24"/>
              </w:rPr>
            </w:pPr>
            <w:r w:rsidRPr="006C55BA">
              <w:rPr>
                <w:rFonts w:ascii="Times New Roman" w:hAnsi="Times New Roman"/>
                <w:i/>
                <w:noProof/>
                <w:sz w:val="24"/>
                <w:szCs w:val="24"/>
              </w:rPr>
              <w:t>Therapeutic Goods Act 1989</w:t>
            </w:r>
          </w:p>
        </w:tc>
      </w:tr>
      <w:tr w:rsidR="001E0AC1" w:rsidRPr="00B54538" w:rsidTr="001E0AC1">
        <w:tc>
          <w:tcPr>
            <w:tcW w:w="2552" w:type="dxa"/>
          </w:tcPr>
          <w:p w:rsidR="001E0AC1" w:rsidRPr="003B6490" w:rsidRDefault="001E0AC1" w:rsidP="001E0AC1">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1E0AC1" w:rsidRPr="003B6490" w:rsidRDefault="001E0AC1" w:rsidP="001E0AC1">
            <w:pPr>
              <w:pStyle w:val="letterheadbody"/>
              <w:spacing w:line="264" w:lineRule="auto"/>
              <w:ind w:left="0"/>
              <w:rPr>
                <w:rFonts w:ascii="Times New Roman" w:hAnsi="Times New Roman"/>
                <w:sz w:val="24"/>
                <w:szCs w:val="24"/>
              </w:rPr>
            </w:pPr>
            <w:r w:rsidRPr="00310C67">
              <w:rPr>
                <w:rFonts w:ascii="Times New Roman" w:hAnsi="Times New Roman"/>
                <w:noProof/>
                <w:sz w:val="24"/>
                <w:szCs w:val="24"/>
              </w:rPr>
              <w:t>Health and Ageing</w:t>
            </w:r>
          </w:p>
        </w:tc>
      </w:tr>
    </w:tbl>
    <w:p w:rsidR="001E0AC1" w:rsidRPr="00B54538" w:rsidRDefault="001E0AC1" w:rsidP="001E0AC1">
      <w:pPr>
        <w:spacing w:after="0"/>
        <w:rPr>
          <w:szCs w:val="26"/>
        </w:rPr>
      </w:pPr>
    </w:p>
    <w:p w:rsidR="001E0AC1" w:rsidRDefault="001E0AC1" w:rsidP="001E0AC1">
      <w:pPr>
        <w:spacing w:after="0"/>
        <w:rPr>
          <w:b/>
          <w:szCs w:val="26"/>
        </w:rPr>
      </w:pPr>
      <w:r>
        <w:rPr>
          <w:b/>
          <w:szCs w:val="26"/>
        </w:rPr>
        <w:t>ISSUE:</w:t>
      </w:r>
    </w:p>
    <w:p w:rsidR="001E0AC1" w:rsidRPr="00B54538" w:rsidRDefault="001E0AC1" w:rsidP="001E0AC1">
      <w:pPr>
        <w:pStyle w:val="Heading4"/>
        <w:numPr>
          <w:ilvl w:val="3"/>
          <w:numId w:val="21"/>
        </w:numPr>
        <w:spacing w:before="120" w:after="120"/>
        <w:rPr>
          <w:noProof/>
        </w:rPr>
      </w:pPr>
      <w:r w:rsidRPr="00310C67">
        <w:rPr>
          <w:noProof/>
        </w:rPr>
        <w:t xml:space="preserve">Insufficient explanation provided </w:t>
      </w:r>
      <w:r>
        <w:rPr>
          <w:noProof/>
        </w:rPr>
        <w:t xml:space="preserve">regarding </w:t>
      </w:r>
      <w:r w:rsidRPr="00310C67">
        <w:rPr>
          <w:noProof/>
        </w:rPr>
        <w:t>consultation</w:t>
      </w:r>
    </w:p>
    <w:p w:rsidR="001E0AC1" w:rsidRPr="00310C67" w:rsidRDefault="001E0AC1" w:rsidP="001E0AC1">
      <w:pPr>
        <w:rPr>
          <w:noProof/>
          <w:szCs w:val="26"/>
        </w:rPr>
      </w:pPr>
      <w:r w:rsidRPr="00E2599D">
        <w:rPr>
          <w:noProof/>
        </w:rPr>
        <w:t xml:space="preserve">Section 17 of the </w:t>
      </w:r>
      <w:r w:rsidRPr="00E2599D">
        <w:rPr>
          <w:i/>
          <w:noProof/>
        </w:rPr>
        <w:t>Legislative Instruments Act 2003</w:t>
      </w:r>
      <w:r w:rsidRPr="00E2599D">
        <w:rPr>
          <w:noProof/>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rPr>
        <w:t>hy none was undertaken (section </w:t>
      </w:r>
      <w:r w:rsidRPr="00E2599D">
        <w:rPr>
          <w:noProof/>
        </w:rPr>
        <w:t>26).</w:t>
      </w:r>
      <w:r>
        <w:rPr>
          <w:noProof/>
        </w:rPr>
        <w:t xml:space="preserve"> </w:t>
      </w:r>
      <w:r w:rsidRPr="00E2599D">
        <w:rPr>
          <w:noProof/>
          <w:szCs w:val="26"/>
        </w:rPr>
        <w:t xml:space="preserve">With reference to these requirements, the committee notes that the ES </w:t>
      </w:r>
      <w:r>
        <w:rPr>
          <w:noProof/>
          <w:szCs w:val="26"/>
        </w:rPr>
        <w:t xml:space="preserve">for </w:t>
      </w:r>
      <w:r w:rsidRPr="00E2599D">
        <w:rPr>
          <w:noProof/>
          <w:szCs w:val="26"/>
        </w:rPr>
        <w:t>the instrument state</w:t>
      </w:r>
      <w:r>
        <w:rPr>
          <w:noProof/>
          <w:szCs w:val="26"/>
        </w:rPr>
        <w:t>s:</w:t>
      </w:r>
    </w:p>
    <w:p w:rsidR="001E0AC1" w:rsidRPr="00310C67" w:rsidRDefault="001E0AC1" w:rsidP="001E0AC1">
      <w:pPr>
        <w:pStyle w:val="Quote"/>
        <w:rPr>
          <w:noProof/>
        </w:rPr>
      </w:pPr>
      <w:r w:rsidRPr="00310C67">
        <w:rPr>
          <w:noProof/>
        </w:rPr>
        <w:t>The release of therapeutic goods information in relation to recall actions for the purpose of testing a prototype of the SARA database is the proposed mechanism for consulting stakeholders on the database. It is considered to be minor and machinery in nature.</w:t>
      </w:r>
    </w:p>
    <w:p w:rsidR="001E0AC1" w:rsidRPr="00310C67" w:rsidRDefault="001E0AC1" w:rsidP="001E0AC1">
      <w:pPr>
        <w:rPr>
          <w:noProof/>
          <w:szCs w:val="26"/>
        </w:rPr>
      </w:pPr>
      <w:r>
        <w:rPr>
          <w:noProof/>
          <w:szCs w:val="26"/>
        </w:rPr>
        <w:t>The committee considers that the ES addresses the issue of consultation only indirectly, and it is not clear whether consultation was considered unnecessary or inappropriate due to the nature of the instrument or because of plans for future consultation.</w:t>
      </w:r>
      <w:r w:rsidRPr="00134E6B">
        <w:rPr>
          <w:b/>
          <w:noProof/>
          <w:szCs w:val="26"/>
        </w:rPr>
        <w:t xml:space="preserve"> The committee </w:t>
      </w:r>
      <w:r>
        <w:rPr>
          <w:b/>
          <w:noProof/>
          <w:szCs w:val="26"/>
        </w:rPr>
        <w:t xml:space="preserve">will therefore </w:t>
      </w:r>
      <w:r w:rsidRPr="00134E6B">
        <w:rPr>
          <w:b/>
          <w:noProof/>
          <w:szCs w:val="26"/>
        </w:rPr>
        <w:t>seek further information from the minister</w:t>
      </w:r>
      <w:r>
        <w:rPr>
          <w:b/>
          <w:noProof/>
          <w:szCs w:val="26"/>
        </w:rPr>
        <w:t xml:space="preserve"> </w:t>
      </w:r>
      <w:r w:rsidRPr="00940F8E">
        <w:rPr>
          <w:b/>
          <w:noProof/>
        </w:rPr>
        <w:t xml:space="preserve">and request that the ES be updated in accordance with the requirements of the </w:t>
      </w:r>
      <w:r w:rsidRPr="00E2599D">
        <w:rPr>
          <w:b/>
          <w:i/>
          <w:noProof/>
        </w:rPr>
        <w:t>Legislative Instruments Act 2003</w:t>
      </w:r>
      <w:r w:rsidRPr="00310C67">
        <w:rPr>
          <w:noProof/>
          <w:szCs w:val="26"/>
        </w:rPr>
        <w:t>.</w:t>
      </w:r>
    </w:p>
    <w:p w:rsidR="00EC5913" w:rsidRDefault="00EC5913" w:rsidP="008702B8">
      <w:pPr>
        <w:pStyle w:val="Bullet1"/>
        <w:numPr>
          <w:ilvl w:val="0"/>
          <w:numId w:val="0"/>
        </w:numPr>
        <w:spacing w:after="0"/>
        <w:ind w:left="851" w:hanging="851"/>
        <w:sectPr w:rsidR="00EC5913" w:rsidSect="001E0A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95"/>
          <w:cols w:space="708"/>
          <w:titlePg/>
          <w:docGrid w:linePitch="360"/>
        </w:sectPr>
      </w:pPr>
      <w:r>
        <w:br w:type="page"/>
      </w:r>
    </w:p>
    <w:p w:rsidR="00EC5913" w:rsidRDefault="00EC5913" w:rsidP="00EC5913">
      <w:pPr>
        <w:pStyle w:val="Heading1"/>
      </w:pPr>
      <w:r>
        <w:lastRenderedPageBreak/>
        <w:t>Chapter 2</w:t>
      </w:r>
    </w:p>
    <w:p w:rsidR="00EC5913" w:rsidRDefault="00EC5913" w:rsidP="00EC5913">
      <w:pPr>
        <w:pStyle w:val="Heading2"/>
      </w:pPr>
      <w:r>
        <w:t>Concluded matters</w:t>
      </w:r>
    </w:p>
    <w:p w:rsidR="00EC5913" w:rsidRDefault="00EC5913" w:rsidP="00EC5913">
      <w:pPr>
        <w:pStyle w:val="Level1"/>
        <w:numPr>
          <w:ilvl w:val="0"/>
          <w:numId w:val="0"/>
        </w:numPr>
      </w:pPr>
      <w:r>
        <w:t xml:space="preserve">There was no correspondence from ministers or instrument-makers for consideration and hence no matters concluded at the committee's meeting of </w:t>
      </w:r>
      <w:r w:rsidRPr="009716F4">
        <w:rPr>
          <w:b/>
        </w:rPr>
        <w:t>28</w:t>
      </w:r>
      <w:r w:rsidRPr="00C6376A">
        <w:rPr>
          <w:b/>
        </w:rPr>
        <w:t xml:space="preserve"> </w:t>
      </w:r>
      <w:r>
        <w:rPr>
          <w:b/>
        </w:rPr>
        <w:t xml:space="preserve">February </w:t>
      </w:r>
      <w:r w:rsidRPr="00EF32A2">
        <w:rPr>
          <w:b/>
        </w:rPr>
        <w:t>201</w:t>
      </w:r>
      <w:r>
        <w:rPr>
          <w:b/>
        </w:rPr>
        <w:t>3</w:t>
      </w:r>
      <w:r>
        <w:t>.</w:t>
      </w:r>
    </w:p>
    <w:p w:rsidR="00EC5913" w:rsidRDefault="00EC5913" w:rsidP="008702B8">
      <w:pPr>
        <w:pStyle w:val="Bullet1"/>
        <w:numPr>
          <w:ilvl w:val="0"/>
          <w:numId w:val="0"/>
        </w:numPr>
        <w:spacing w:after="0"/>
        <w:ind w:left="851" w:hanging="851"/>
        <w:sectPr w:rsidR="00EC5913" w:rsidSect="00BD624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17"/>
          <w:cols w:space="708"/>
          <w:titlePg/>
          <w:docGrid w:linePitch="360"/>
        </w:sectPr>
      </w:pPr>
      <w:r>
        <w:br w:type="page"/>
      </w:r>
    </w:p>
    <w:p w:rsidR="00EC5913" w:rsidRDefault="00EC5913" w:rsidP="00EC5913">
      <w:pPr>
        <w:pStyle w:val="Heading1"/>
        <w:tabs>
          <w:tab w:val="left" w:pos="284"/>
        </w:tabs>
      </w:pPr>
      <w:r>
        <w:lastRenderedPageBreak/>
        <w:t>Appendix 1</w:t>
      </w:r>
    </w:p>
    <w:p w:rsidR="00EC5913" w:rsidRDefault="00EC5913" w:rsidP="00EC5913">
      <w:pPr>
        <w:pStyle w:val="Heading2"/>
        <w:tabs>
          <w:tab w:val="left" w:pos="284"/>
        </w:tabs>
      </w:pPr>
      <w:r>
        <w:t>Index of instruments scrutinised</w:t>
      </w:r>
    </w:p>
    <w:p w:rsidR="00EC5913" w:rsidRDefault="00EC5913" w:rsidP="00EC5913">
      <w:pPr>
        <w:tabs>
          <w:tab w:val="left" w:pos="284"/>
        </w:tabs>
      </w:pPr>
      <w:r>
        <w:t xml:space="preserve">The following instruments were considered by the committee at its meeting on </w:t>
      </w:r>
      <w:r>
        <w:rPr>
          <w:b/>
        </w:rPr>
        <w:t>28 </w:t>
      </w:r>
      <w:r w:rsidRPr="00476849">
        <w:rPr>
          <w:b/>
        </w:rPr>
        <w:t xml:space="preserve">February </w:t>
      </w:r>
      <w:r>
        <w:rPr>
          <w:b/>
        </w:rPr>
        <w:t>2013</w:t>
      </w:r>
      <w:r>
        <w:t>.</w:t>
      </w:r>
    </w:p>
    <w:p w:rsidR="00EC5913" w:rsidRDefault="00EC5913" w:rsidP="00EC5913">
      <w:pPr>
        <w:tabs>
          <w:tab w:val="left" w:pos="284"/>
        </w:tabs>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6"/>
      </w:r>
      <w:r w:rsidRPr="005B5F6E">
        <w:t xml:space="preserve"> Instruments may be located on FRLI by entering the relevant FRLI number into the FRLI search field (the FRLI number is shown in square brackets after the name of each instrument listed below).</w:t>
      </w:r>
    </w:p>
    <w:p w:rsidR="00EC5913" w:rsidRPr="00C45C72" w:rsidRDefault="00EC5913" w:rsidP="00EC5913">
      <w:pPr>
        <w:pStyle w:val="Heading3"/>
        <w:tabs>
          <w:tab w:val="left" w:pos="284"/>
        </w:tabs>
        <w:spacing w:after="240"/>
        <w:jc w:val="center"/>
        <w:rPr>
          <w:u w:val="single"/>
        </w:rPr>
      </w:pPr>
      <w:r w:rsidRPr="00C45C72">
        <w:rPr>
          <w:u w:val="single"/>
        </w:rPr>
        <w:t xml:space="preserve">Instruments received week ending </w:t>
      </w:r>
      <w:r>
        <w:rPr>
          <w:u w:val="single"/>
        </w:rPr>
        <w:t>11 January 2013</w:t>
      </w:r>
    </w:p>
    <w:p w:rsidR="00EC5913" w:rsidRPr="00476849" w:rsidRDefault="00EC5913" w:rsidP="00EC5913">
      <w:pPr>
        <w:spacing w:after="120"/>
        <w:ind w:right="-46"/>
        <w:rPr>
          <w:sz w:val="24"/>
          <w:szCs w:val="24"/>
        </w:rPr>
      </w:pPr>
      <w:r w:rsidRPr="00476849">
        <w:rPr>
          <w:b/>
          <w:i/>
          <w:sz w:val="24"/>
          <w:szCs w:val="24"/>
        </w:rPr>
        <w:t>A New Tax System (Family Assistance) Act 1999</w:t>
      </w:r>
    </w:p>
    <w:p w:rsidR="00EC5913" w:rsidRPr="00476849" w:rsidRDefault="00EC5913" w:rsidP="00EC5913">
      <w:pPr>
        <w:spacing w:after="0"/>
        <w:ind w:right="-46"/>
        <w:jc w:val="left"/>
        <w:rPr>
          <w:sz w:val="22"/>
          <w:szCs w:val="22"/>
        </w:rPr>
      </w:pPr>
      <w:r w:rsidRPr="00476849">
        <w:rPr>
          <w:sz w:val="22"/>
          <w:szCs w:val="22"/>
        </w:rPr>
        <w:t>Schoolkids Bonus Determination 2012 [F2012L02562]</w:t>
      </w:r>
    </w:p>
    <w:p w:rsidR="00EC5913" w:rsidRPr="00476849" w:rsidRDefault="00EC5913" w:rsidP="00EC5913">
      <w:pPr>
        <w:spacing w:after="0"/>
        <w:ind w:right="-46"/>
        <w:rPr>
          <w:sz w:val="22"/>
          <w:szCs w:val="22"/>
        </w:rPr>
      </w:pPr>
    </w:p>
    <w:p w:rsidR="00EC5913" w:rsidRPr="00476849" w:rsidRDefault="00EC5913" w:rsidP="00EC5913">
      <w:pPr>
        <w:spacing w:after="120"/>
        <w:ind w:right="-46"/>
        <w:rPr>
          <w:sz w:val="24"/>
          <w:szCs w:val="24"/>
        </w:rPr>
      </w:pPr>
      <w:r w:rsidRPr="00476849">
        <w:rPr>
          <w:b/>
          <w:sz w:val="24"/>
          <w:szCs w:val="24"/>
        </w:rPr>
        <w:t>Annual Appropriation Acts</w:t>
      </w:r>
    </w:p>
    <w:p w:rsidR="00EC5913" w:rsidRPr="00476849" w:rsidRDefault="00EC5913" w:rsidP="00EC5913">
      <w:pPr>
        <w:spacing w:after="0"/>
        <w:ind w:right="-46"/>
        <w:jc w:val="left"/>
        <w:rPr>
          <w:sz w:val="22"/>
          <w:szCs w:val="22"/>
        </w:rPr>
      </w:pPr>
      <w:r w:rsidRPr="00476849">
        <w:rPr>
          <w:sz w:val="22"/>
          <w:szCs w:val="22"/>
        </w:rPr>
        <w:t xml:space="preserve">Determination to Reduce Appropriations </w:t>
      </w:r>
      <w:proofErr w:type="gramStart"/>
      <w:r w:rsidRPr="00476849">
        <w:rPr>
          <w:sz w:val="22"/>
          <w:szCs w:val="22"/>
        </w:rPr>
        <w:t>Upon</w:t>
      </w:r>
      <w:proofErr w:type="gramEnd"/>
      <w:r w:rsidRPr="00476849">
        <w:rPr>
          <w:sz w:val="22"/>
          <w:szCs w:val="22"/>
        </w:rPr>
        <w:t xml:space="preserve"> Request (No. 2 of 2012-2013) [F2013L00035]</w:t>
      </w:r>
    </w:p>
    <w:p w:rsidR="00EC5913" w:rsidRPr="00476849" w:rsidRDefault="00EC5913" w:rsidP="00EC5913">
      <w:pPr>
        <w:spacing w:after="0"/>
        <w:ind w:right="-46"/>
        <w:rPr>
          <w:sz w:val="22"/>
          <w:szCs w:val="22"/>
        </w:rPr>
      </w:pPr>
    </w:p>
    <w:p w:rsidR="00EC5913" w:rsidRPr="00476849" w:rsidRDefault="00EC5913" w:rsidP="00EC5913">
      <w:pPr>
        <w:spacing w:after="120"/>
        <w:ind w:right="-46"/>
        <w:rPr>
          <w:sz w:val="24"/>
          <w:szCs w:val="24"/>
        </w:rPr>
      </w:pPr>
      <w:r w:rsidRPr="00476849">
        <w:rPr>
          <w:b/>
          <w:i/>
          <w:sz w:val="24"/>
          <w:szCs w:val="24"/>
        </w:rPr>
        <w:t>Anti-Money Laundering and Counter-Terrorism Financing Act 2006</w:t>
      </w:r>
    </w:p>
    <w:p w:rsidR="00EC5913" w:rsidRPr="00476849" w:rsidRDefault="00EC5913" w:rsidP="00EC5913">
      <w:pPr>
        <w:spacing w:after="0"/>
        <w:ind w:right="-46"/>
        <w:jc w:val="left"/>
        <w:rPr>
          <w:sz w:val="22"/>
          <w:szCs w:val="22"/>
        </w:rPr>
      </w:pPr>
      <w:r w:rsidRPr="00476849">
        <w:rPr>
          <w:sz w:val="22"/>
          <w:szCs w:val="22"/>
        </w:rPr>
        <w:t>Anti-Money Laundering and Counter-Terrorism Financing Rules</w:t>
      </w:r>
      <w:r>
        <w:rPr>
          <w:sz w:val="22"/>
          <w:szCs w:val="22"/>
        </w:rPr>
        <w:t xml:space="preserve"> Amendment Instrument 2012 (No. </w:t>
      </w:r>
      <w:r w:rsidRPr="00476849">
        <w:rPr>
          <w:sz w:val="22"/>
          <w:szCs w:val="22"/>
        </w:rPr>
        <w:t>5) [F2012L02563]</w:t>
      </w:r>
    </w:p>
    <w:p w:rsidR="00EC5913" w:rsidRPr="00476849" w:rsidRDefault="00EC5913" w:rsidP="00EC5913">
      <w:pPr>
        <w:spacing w:after="0"/>
        <w:ind w:right="-46"/>
        <w:rPr>
          <w:sz w:val="22"/>
          <w:szCs w:val="22"/>
        </w:rPr>
      </w:pPr>
    </w:p>
    <w:p w:rsidR="00EC5913" w:rsidRPr="00476849" w:rsidRDefault="00EC5913" w:rsidP="00EC5913">
      <w:pPr>
        <w:spacing w:after="120"/>
        <w:ind w:right="-46"/>
        <w:rPr>
          <w:sz w:val="24"/>
          <w:szCs w:val="24"/>
        </w:rPr>
      </w:pPr>
      <w:r w:rsidRPr="00476849">
        <w:rPr>
          <w:b/>
          <w:i/>
          <w:sz w:val="24"/>
          <w:szCs w:val="24"/>
        </w:rPr>
        <w:t>Australian Capital Territory (Planning and Land Management) Act 1988</w:t>
      </w:r>
    </w:p>
    <w:p w:rsidR="00EC5913" w:rsidRPr="00476849" w:rsidRDefault="00EC5913" w:rsidP="00EC5913">
      <w:pPr>
        <w:spacing w:after="0"/>
        <w:ind w:right="-46"/>
        <w:jc w:val="left"/>
        <w:rPr>
          <w:sz w:val="22"/>
          <w:szCs w:val="22"/>
        </w:rPr>
      </w:pPr>
      <w:r w:rsidRPr="00476849">
        <w:rPr>
          <w:sz w:val="22"/>
          <w:szCs w:val="22"/>
        </w:rPr>
        <w:t>National Capital Plan – Amendment 75 – Australian Defence Force Academy and Royal Military College Duntroon Master Plan [F2013L00036]</w:t>
      </w:r>
    </w:p>
    <w:p w:rsidR="00EC5913" w:rsidRPr="00476849" w:rsidRDefault="00EC5913" w:rsidP="00EC5913">
      <w:pPr>
        <w:spacing w:after="0"/>
        <w:ind w:right="-46"/>
        <w:rPr>
          <w:sz w:val="22"/>
          <w:szCs w:val="22"/>
        </w:rPr>
      </w:pPr>
    </w:p>
    <w:p w:rsidR="00EC5913" w:rsidRPr="00476849" w:rsidRDefault="00EC5913" w:rsidP="00EC5913">
      <w:pPr>
        <w:spacing w:after="120"/>
        <w:ind w:right="-46"/>
        <w:rPr>
          <w:b/>
          <w:i/>
          <w:sz w:val="24"/>
          <w:szCs w:val="24"/>
        </w:rPr>
      </w:pPr>
      <w:r w:rsidRPr="00476849">
        <w:rPr>
          <w:b/>
          <w:i/>
          <w:sz w:val="24"/>
          <w:szCs w:val="24"/>
        </w:rPr>
        <w:t>Australian Prudential Regulation Authority Act 1998</w:t>
      </w:r>
    </w:p>
    <w:p w:rsidR="00EC5913" w:rsidRPr="00476849" w:rsidRDefault="00EC5913" w:rsidP="00EC5913">
      <w:pPr>
        <w:spacing w:after="60"/>
        <w:ind w:right="-46"/>
        <w:jc w:val="left"/>
        <w:rPr>
          <w:color w:val="000000"/>
          <w:sz w:val="22"/>
          <w:szCs w:val="22"/>
        </w:rPr>
      </w:pPr>
      <w:r w:rsidRPr="00476849">
        <w:rPr>
          <w:color w:val="000000"/>
          <w:sz w:val="22"/>
          <w:szCs w:val="22"/>
        </w:rPr>
        <w:t>Australian Prudential Regulation Authority (confidentiality) determination No. 26 of 2012 [F2012L02526]</w:t>
      </w:r>
    </w:p>
    <w:p w:rsidR="00EC5913" w:rsidRPr="00476849" w:rsidRDefault="00EC5913" w:rsidP="00EC5913">
      <w:pPr>
        <w:spacing w:after="60"/>
        <w:ind w:right="-46"/>
        <w:jc w:val="left"/>
        <w:rPr>
          <w:color w:val="000000"/>
          <w:sz w:val="22"/>
          <w:szCs w:val="22"/>
        </w:rPr>
      </w:pPr>
      <w:r w:rsidRPr="00476849">
        <w:rPr>
          <w:color w:val="000000"/>
          <w:sz w:val="22"/>
          <w:szCs w:val="22"/>
        </w:rPr>
        <w:t>Australian Prudential Regulation Authority (confidentiality) determination No. 27 of 2012 [F2012L02528]</w:t>
      </w:r>
    </w:p>
    <w:p w:rsidR="00EC5913" w:rsidRPr="00476849" w:rsidRDefault="00EC5913" w:rsidP="00EC5913">
      <w:pPr>
        <w:spacing w:after="60"/>
        <w:ind w:right="-46"/>
        <w:jc w:val="left"/>
        <w:rPr>
          <w:color w:val="000000"/>
          <w:sz w:val="22"/>
          <w:szCs w:val="22"/>
        </w:rPr>
      </w:pPr>
      <w:r w:rsidRPr="00476849">
        <w:rPr>
          <w:color w:val="000000"/>
          <w:sz w:val="22"/>
          <w:szCs w:val="22"/>
        </w:rPr>
        <w:t>Australian Prudential Regulation Authority (confidentiality) determination No. 28 of 2012 [F2012L02536]</w:t>
      </w:r>
    </w:p>
    <w:p w:rsidR="00EC5913" w:rsidRPr="00476849" w:rsidRDefault="00EC5913" w:rsidP="00EC5913">
      <w:pPr>
        <w:spacing w:after="0"/>
        <w:ind w:right="-46"/>
        <w:jc w:val="left"/>
        <w:rPr>
          <w:color w:val="000000"/>
          <w:sz w:val="22"/>
          <w:szCs w:val="22"/>
        </w:rPr>
      </w:pPr>
      <w:r w:rsidRPr="00476849">
        <w:rPr>
          <w:color w:val="000000"/>
          <w:sz w:val="22"/>
          <w:szCs w:val="22"/>
        </w:rPr>
        <w:t>Australian Prudential Regulation Authority (confidentiality) determination No. 29 of 2012 [F2012L02538]</w:t>
      </w:r>
    </w:p>
    <w:p w:rsidR="00EC5913" w:rsidRPr="00476849" w:rsidRDefault="00EC5913" w:rsidP="00EC5913">
      <w:pPr>
        <w:spacing w:after="0"/>
        <w:ind w:right="-46"/>
        <w:rPr>
          <w:color w:val="000000"/>
          <w:sz w:val="22"/>
          <w:szCs w:val="22"/>
        </w:rPr>
      </w:pPr>
    </w:p>
    <w:p w:rsidR="00EC5913" w:rsidRPr="00476849" w:rsidRDefault="00EC5913" w:rsidP="00EC5913">
      <w:pPr>
        <w:spacing w:after="120"/>
        <w:ind w:right="-45"/>
        <w:rPr>
          <w:b/>
          <w:sz w:val="24"/>
          <w:szCs w:val="24"/>
        </w:rPr>
      </w:pPr>
      <w:r w:rsidRPr="00476849">
        <w:rPr>
          <w:b/>
          <w:i/>
          <w:sz w:val="24"/>
          <w:szCs w:val="24"/>
        </w:rPr>
        <w:t>Broadcasting Services Act 1992</w:t>
      </w:r>
    </w:p>
    <w:p w:rsidR="00EC5913" w:rsidRPr="00476849" w:rsidRDefault="00EC5913" w:rsidP="00EC5913">
      <w:pPr>
        <w:spacing w:after="60"/>
        <w:ind w:right="-45"/>
        <w:jc w:val="left"/>
        <w:rPr>
          <w:color w:val="000000"/>
          <w:sz w:val="22"/>
          <w:szCs w:val="22"/>
        </w:rPr>
      </w:pPr>
      <w:r w:rsidRPr="00476849">
        <w:rPr>
          <w:color w:val="000000"/>
          <w:sz w:val="22"/>
          <w:szCs w:val="22"/>
        </w:rPr>
        <w:t>Broadcasting Services (Events) Notice (No. 1) 2010 (Amendment No. 15 of 2012) [F2013L00002]</w:t>
      </w:r>
    </w:p>
    <w:p w:rsidR="00EC5913" w:rsidRPr="00476849" w:rsidRDefault="00EC5913" w:rsidP="00EC5913">
      <w:pPr>
        <w:spacing w:after="60"/>
        <w:ind w:right="-45"/>
        <w:jc w:val="left"/>
        <w:rPr>
          <w:color w:val="000000"/>
          <w:sz w:val="22"/>
          <w:szCs w:val="22"/>
        </w:rPr>
      </w:pPr>
      <w:r w:rsidRPr="00476849">
        <w:rPr>
          <w:color w:val="000000"/>
          <w:sz w:val="22"/>
          <w:szCs w:val="22"/>
        </w:rPr>
        <w:t>Television Licence Area Plan (Brisbane) 2012 [F2012L02495</w:t>
      </w:r>
    </w:p>
    <w:p w:rsidR="00EC5913" w:rsidRPr="00476849" w:rsidRDefault="00EC5913" w:rsidP="00EC5913">
      <w:pPr>
        <w:spacing w:after="60"/>
        <w:ind w:right="-45"/>
        <w:jc w:val="left"/>
        <w:rPr>
          <w:color w:val="000000"/>
          <w:sz w:val="22"/>
          <w:szCs w:val="22"/>
        </w:rPr>
      </w:pPr>
      <w:r w:rsidRPr="00476849">
        <w:rPr>
          <w:color w:val="000000"/>
          <w:sz w:val="22"/>
          <w:szCs w:val="22"/>
        </w:rPr>
        <w:t>Television Licence Area Plan (Northern New South Wales) 2012 [F2012L02537]</w:t>
      </w:r>
    </w:p>
    <w:p w:rsidR="00EC5913" w:rsidRPr="00476849" w:rsidRDefault="00EC5913" w:rsidP="00EC5913">
      <w:pPr>
        <w:spacing w:after="0"/>
        <w:ind w:right="-46"/>
        <w:jc w:val="left"/>
        <w:rPr>
          <w:color w:val="000000"/>
          <w:sz w:val="22"/>
          <w:szCs w:val="22"/>
        </w:rPr>
      </w:pPr>
      <w:r w:rsidRPr="00476849">
        <w:rPr>
          <w:color w:val="000000"/>
          <w:sz w:val="22"/>
          <w:szCs w:val="22"/>
        </w:rPr>
        <w:t>Television Licence Area Plan (Regional Queensland) 2012 [F2012L02530]</w:t>
      </w:r>
    </w:p>
    <w:p w:rsidR="00EC5913" w:rsidRPr="00476849" w:rsidRDefault="00EC5913" w:rsidP="00EC5913">
      <w:pPr>
        <w:spacing w:after="0"/>
        <w:ind w:right="-46"/>
        <w:rPr>
          <w:color w:val="000000"/>
          <w:sz w:val="22"/>
          <w:szCs w:val="22"/>
        </w:rPr>
      </w:pPr>
    </w:p>
    <w:p w:rsidR="00EC5913" w:rsidRPr="00476849" w:rsidRDefault="00EC5913" w:rsidP="00EC5913">
      <w:pPr>
        <w:spacing w:after="120"/>
        <w:ind w:right="-45"/>
        <w:rPr>
          <w:sz w:val="24"/>
          <w:szCs w:val="24"/>
        </w:rPr>
      </w:pPr>
      <w:r w:rsidRPr="00476849">
        <w:rPr>
          <w:b/>
          <w:i/>
          <w:sz w:val="24"/>
          <w:szCs w:val="24"/>
        </w:rPr>
        <w:t>Carbon Credits (Carbon Farming Initiative) Act 2011</w:t>
      </w:r>
    </w:p>
    <w:p w:rsidR="00EC5913" w:rsidRPr="00476849" w:rsidRDefault="00EC5913" w:rsidP="00EC5913">
      <w:pPr>
        <w:spacing w:after="60"/>
        <w:ind w:right="-45"/>
        <w:jc w:val="left"/>
        <w:rPr>
          <w:sz w:val="22"/>
          <w:szCs w:val="22"/>
        </w:rPr>
      </w:pPr>
      <w:r w:rsidRPr="00476849">
        <w:rPr>
          <w:sz w:val="22"/>
          <w:szCs w:val="22"/>
        </w:rPr>
        <w:t>Carbon Credits (Carbon Farming Initiative) (Capture and Combustion of Methane in Landfill Gas for Legacy Waste: Upgrade projects) Methodology Determination 2012 [F2012L02583]</w:t>
      </w:r>
    </w:p>
    <w:p w:rsidR="00EC5913" w:rsidRPr="00476849" w:rsidRDefault="00EC5913" w:rsidP="00EC5913">
      <w:pPr>
        <w:spacing w:after="0"/>
        <w:ind w:right="-46"/>
        <w:jc w:val="left"/>
        <w:rPr>
          <w:sz w:val="22"/>
          <w:szCs w:val="22"/>
        </w:rPr>
      </w:pPr>
      <w:r w:rsidRPr="00476849">
        <w:rPr>
          <w:sz w:val="22"/>
          <w:szCs w:val="22"/>
        </w:rPr>
        <w:t>Carbon Credits (Carbon Farming Initiative) (Destruction of Methane Generated from Dairy Manure in Covered Anaerobic Ponds) Methodology Determination 2012 [F2012L02571]</w:t>
      </w:r>
    </w:p>
    <w:p w:rsidR="00EC5913" w:rsidRPr="00476849" w:rsidRDefault="00EC5913" w:rsidP="00EC5913">
      <w:pPr>
        <w:spacing w:after="0"/>
        <w:ind w:right="-46"/>
        <w:rPr>
          <w:b/>
          <w:sz w:val="22"/>
          <w:szCs w:val="22"/>
        </w:rPr>
      </w:pPr>
    </w:p>
    <w:p w:rsidR="00EC5913" w:rsidRPr="00476849" w:rsidRDefault="00EC5913" w:rsidP="00EC5913">
      <w:pPr>
        <w:spacing w:after="120"/>
        <w:ind w:right="-45"/>
        <w:rPr>
          <w:sz w:val="24"/>
          <w:szCs w:val="24"/>
        </w:rPr>
      </w:pPr>
      <w:r w:rsidRPr="00476849">
        <w:rPr>
          <w:b/>
          <w:i/>
          <w:sz w:val="24"/>
          <w:szCs w:val="24"/>
        </w:rPr>
        <w:t>Civil Aviation Act 1988</w:t>
      </w:r>
    </w:p>
    <w:p w:rsidR="00EC5913" w:rsidRPr="00476849" w:rsidRDefault="00EC5913" w:rsidP="00EC5913">
      <w:pPr>
        <w:spacing w:after="60"/>
        <w:ind w:right="-45"/>
        <w:jc w:val="left"/>
        <w:rPr>
          <w:color w:val="000000"/>
          <w:sz w:val="22"/>
          <w:szCs w:val="22"/>
        </w:rPr>
      </w:pPr>
      <w:r w:rsidRPr="00476849">
        <w:rPr>
          <w:color w:val="000000"/>
          <w:sz w:val="22"/>
          <w:szCs w:val="22"/>
        </w:rPr>
        <w:t>CASA ADCX 025/12 – Revocation of Airworthiness Directives [F2013L00005]</w:t>
      </w:r>
    </w:p>
    <w:p w:rsidR="00EC5913" w:rsidRPr="00476849" w:rsidRDefault="00EC5913" w:rsidP="00EC5913">
      <w:pPr>
        <w:spacing w:after="60"/>
        <w:ind w:right="-45"/>
        <w:jc w:val="left"/>
        <w:rPr>
          <w:color w:val="000000"/>
          <w:sz w:val="22"/>
          <w:szCs w:val="22"/>
        </w:rPr>
      </w:pPr>
      <w:proofErr w:type="gramStart"/>
      <w:r>
        <w:rPr>
          <w:color w:val="000000"/>
          <w:sz w:val="22"/>
          <w:szCs w:val="22"/>
        </w:rPr>
        <w:t xml:space="preserve">CASA EX 190/12 – Exemption – </w:t>
      </w:r>
      <w:r w:rsidRPr="00476849">
        <w:rPr>
          <w:color w:val="000000"/>
          <w:sz w:val="22"/>
          <w:szCs w:val="22"/>
        </w:rPr>
        <w:t>from standard take-off and landing minima – Airasia X SDN.</w:t>
      </w:r>
      <w:proofErr w:type="gramEnd"/>
      <w:r w:rsidRPr="00476849">
        <w:rPr>
          <w:color w:val="000000"/>
          <w:sz w:val="22"/>
          <w:szCs w:val="22"/>
        </w:rPr>
        <w:t xml:space="preserve"> BHD [F2013L00033]</w:t>
      </w:r>
    </w:p>
    <w:p w:rsidR="00EC5913" w:rsidRPr="00476849" w:rsidRDefault="00EC5913" w:rsidP="00EC5913">
      <w:pPr>
        <w:spacing w:after="60"/>
        <w:ind w:right="-45"/>
        <w:jc w:val="left"/>
        <w:rPr>
          <w:color w:val="000000"/>
          <w:sz w:val="22"/>
          <w:szCs w:val="22"/>
        </w:rPr>
      </w:pPr>
      <w:r w:rsidRPr="00476849">
        <w:rPr>
          <w:color w:val="000000"/>
          <w:sz w:val="22"/>
          <w:szCs w:val="22"/>
        </w:rPr>
        <w:t>CASA EX191/12 - Exemption - solo flight training using ultralight aeroplanes registered with Recreational Aviation Australia Incorporated at Jandakot Aerodrome [F2012L02521]</w:t>
      </w:r>
    </w:p>
    <w:p w:rsidR="00EC5913" w:rsidRPr="00476849" w:rsidRDefault="00EC5913" w:rsidP="00EC5913">
      <w:pPr>
        <w:spacing w:after="60"/>
        <w:ind w:right="-45"/>
        <w:jc w:val="left"/>
        <w:rPr>
          <w:color w:val="000000"/>
          <w:sz w:val="22"/>
          <w:szCs w:val="22"/>
        </w:rPr>
      </w:pPr>
      <w:r w:rsidRPr="00476849">
        <w:rPr>
          <w:color w:val="000000"/>
          <w:sz w:val="22"/>
          <w:szCs w:val="22"/>
        </w:rPr>
        <w:t>CASA EX193/12 - Exemption - operations by paragliders in the Corryong Open and hang-gliders in the Corryong Cup [F2012L02520]</w:t>
      </w:r>
    </w:p>
    <w:p w:rsidR="00EC5913" w:rsidRPr="00476849" w:rsidRDefault="00EC5913" w:rsidP="00EC5913">
      <w:pPr>
        <w:spacing w:after="60"/>
        <w:ind w:right="-45"/>
        <w:jc w:val="left"/>
        <w:rPr>
          <w:color w:val="000000"/>
          <w:sz w:val="22"/>
          <w:szCs w:val="22"/>
        </w:rPr>
      </w:pPr>
      <w:r w:rsidRPr="00476849">
        <w:rPr>
          <w:color w:val="000000"/>
          <w:sz w:val="22"/>
          <w:szCs w:val="22"/>
        </w:rPr>
        <w:t>CASA EX194/12 - Exemption - operations by hang-gliders in the Forbes Flatlands Hang Gliding Championships 2012-2013 [F2012L02527]</w:t>
      </w:r>
    </w:p>
    <w:p w:rsidR="00EC5913" w:rsidRPr="00476849" w:rsidRDefault="00EC5913" w:rsidP="00EC5913">
      <w:pPr>
        <w:spacing w:after="0"/>
        <w:ind w:right="-46"/>
        <w:jc w:val="left"/>
        <w:rPr>
          <w:color w:val="000000"/>
          <w:sz w:val="22"/>
          <w:szCs w:val="22"/>
        </w:rPr>
      </w:pPr>
      <w:r w:rsidRPr="00476849">
        <w:rPr>
          <w:color w:val="000000"/>
          <w:sz w:val="22"/>
          <w:szCs w:val="22"/>
        </w:rPr>
        <w:t>Civil Aviation Order 20.18 Amendment Instrument 2012 (No. 2) [F2012L02556]</w:t>
      </w:r>
    </w:p>
    <w:p w:rsidR="00EC5913" w:rsidRPr="00476849" w:rsidRDefault="00EC5913" w:rsidP="00EC5913">
      <w:pPr>
        <w:spacing w:after="0"/>
        <w:ind w:right="-46"/>
        <w:rPr>
          <w:color w:val="000000"/>
          <w:sz w:val="22"/>
          <w:szCs w:val="22"/>
        </w:rPr>
      </w:pPr>
    </w:p>
    <w:p w:rsidR="00EC5913" w:rsidRPr="00476849" w:rsidRDefault="00EC5913" w:rsidP="00EC5913">
      <w:pPr>
        <w:spacing w:after="120"/>
        <w:ind w:right="-45"/>
        <w:rPr>
          <w:sz w:val="24"/>
          <w:szCs w:val="24"/>
        </w:rPr>
      </w:pPr>
      <w:r w:rsidRPr="00476849">
        <w:rPr>
          <w:b/>
          <w:i/>
          <w:sz w:val="24"/>
          <w:szCs w:val="24"/>
        </w:rPr>
        <w:t>Coastal Trading (Revitalising Australian Shipping) Act 2012</w:t>
      </w:r>
    </w:p>
    <w:p w:rsidR="00EC5913" w:rsidRPr="00476849" w:rsidRDefault="00EC5913" w:rsidP="00EC5913">
      <w:pPr>
        <w:spacing w:after="0"/>
        <w:ind w:right="-46"/>
        <w:jc w:val="left"/>
        <w:rPr>
          <w:sz w:val="22"/>
          <w:szCs w:val="22"/>
        </w:rPr>
      </w:pPr>
      <w:r w:rsidRPr="00476849">
        <w:rPr>
          <w:sz w:val="22"/>
          <w:szCs w:val="22"/>
        </w:rPr>
        <w:t>Coastal Trading (Revitalising Australian Shipping) Act 2012 – Section 11 exemption for cruise vessels [F2012L02585]</w:t>
      </w:r>
    </w:p>
    <w:p w:rsidR="00EC5913" w:rsidRPr="00476849" w:rsidRDefault="00EC5913" w:rsidP="00EC5913">
      <w:pPr>
        <w:spacing w:after="0"/>
        <w:ind w:right="-46"/>
        <w:rPr>
          <w:sz w:val="22"/>
          <w:szCs w:val="22"/>
        </w:rPr>
      </w:pPr>
    </w:p>
    <w:p w:rsidR="00EC5913" w:rsidRPr="00476849" w:rsidRDefault="00EC5913" w:rsidP="00EC5913">
      <w:pPr>
        <w:spacing w:after="120"/>
        <w:ind w:right="-45"/>
        <w:rPr>
          <w:sz w:val="24"/>
          <w:szCs w:val="24"/>
        </w:rPr>
      </w:pPr>
      <w:r w:rsidRPr="00476849">
        <w:rPr>
          <w:b/>
          <w:i/>
          <w:sz w:val="24"/>
          <w:szCs w:val="24"/>
        </w:rPr>
        <w:t>Commonwealth Places (Mirror Taxes) Act 1998</w:t>
      </w:r>
    </w:p>
    <w:p w:rsidR="00EC5913" w:rsidRPr="00476849" w:rsidRDefault="00EC5913" w:rsidP="00EC5913">
      <w:pPr>
        <w:spacing w:after="0"/>
        <w:ind w:right="-46"/>
        <w:jc w:val="left"/>
        <w:rPr>
          <w:color w:val="000000"/>
          <w:sz w:val="22"/>
          <w:szCs w:val="22"/>
        </w:rPr>
      </w:pPr>
      <w:r w:rsidRPr="00476849">
        <w:rPr>
          <w:color w:val="000000"/>
          <w:sz w:val="22"/>
          <w:szCs w:val="22"/>
        </w:rPr>
        <w:t>Commonwealth Places (Mirror Taxes) (Modification of Applied Laws (WA)) Amendment Notice 2012 [F2012L02505]</w:t>
      </w:r>
    </w:p>
    <w:p w:rsidR="00EC5913" w:rsidRPr="00476849" w:rsidRDefault="00EC5913" w:rsidP="00EC5913">
      <w:pPr>
        <w:spacing w:after="0"/>
        <w:ind w:right="-46"/>
        <w:rPr>
          <w:color w:val="000000"/>
          <w:sz w:val="22"/>
          <w:szCs w:val="22"/>
        </w:rPr>
      </w:pPr>
    </w:p>
    <w:p w:rsidR="00EC5913" w:rsidRPr="00476849" w:rsidRDefault="00EC5913" w:rsidP="00EC5913">
      <w:pPr>
        <w:spacing w:after="120"/>
        <w:ind w:right="-45"/>
        <w:rPr>
          <w:sz w:val="24"/>
          <w:szCs w:val="24"/>
        </w:rPr>
      </w:pPr>
      <w:r w:rsidRPr="00476849">
        <w:rPr>
          <w:b/>
          <w:i/>
          <w:sz w:val="24"/>
          <w:szCs w:val="24"/>
        </w:rPr>
        <w:t>Corporations Act 2001</w:t>
      </w:r>
    </w:p>
    <w:p w:rsidR="00EC5913" w:rsidRPr="00476849" w:rsidRDefault="00EC5913" w:rsidP="00EC5913">
      <w:pPr>
        <w:spacing w:after="60"/>
        <w:ind w:right="-45"/>
        <w:jc w:val="left"/>
        <w:rPr>
          <w:color w:val="000000"/>
          <w:sz w:val="22"/>
          <w:szCs w:val="22"/>
        </w:rPr>
      </w:pPr>
      <w:r w:rsidRPr="00476849">
        <w:rPr>
          <w:color w:val="000000"/>
          <w:sz w:val="22"/>
          <w:szCs w:val="22"/>
        </w:rPr>
        <w:t>ASIC Class Order [CO 12/1712] [F2012L02579]</w:t>
      </w:r>
    </w:p>
    <w:p w:rsidR="00EC5913" w:rsidRPr="00476849" w:rsidRDefault="00EC5913" w:rsidP="00EC5913">
      <w:pPr>
        <w:spacing w:after="60"/>
        <w:ind w:right="-45"/>
        <w:jc w:val="left"/>
        <w:rPr>
          <w:color w:val="000000"/>
          <w:sz w:val="22"/>
          <w:szCs w:val="22"/>
        </w:rPr>
      </w:pPr>
      <w:r w:rsidRPr="00476849">
        <w:rPr>
          <w:color w:val="000000"/>
          <w:sz w:val="22"/>
          <w:szCs w:val="22"/>
        </w:rPr>
        <w:t>ASIC Class Rule Waiver [CW 12/1710] [F2012L02499]</w:t>
      </w:r>
    </w:p>
    <w:p w:rsidR="00EC5913" w:rsidRPr="00476849" w:rsidRDefault="00EC5913" w:rsidP="00EC5913">
      <w:pPr>
        <w:spacing w:after="60"/>
        <w:ind w:right="-45"/>
        <w:jc w:val="left"/>
        <w:rPr>
          <w:color w:val="000000"/>
          <w:sz w:val="22"/>
          <w:szCs w:val="22"/>
        </w:rPr>
      </w:pPr>
      <w:r w:rsidRPr="00476849">
        <w:rPr>
          <w:color w:val="000000"/>
          <w:sz w:val="22"/>
          <w:szCs w:val="22"/>
        </w:rPr>
        <w:t>Corporations Act 2001 - Determination of Financial Stability Standards [F2012L02540]</w:t>
      </w:r>
    </w:p>
    <w:p w:rsidR="00EC5913" w:rsidRPr="00476849" w:rsidRDefault="00EC5913" w:rsidP="00EC5913">
      <w:pPr>
        <w:spacing w:after="0"/>
        <w:ind w:right="-46"/>
        <w:jc w:val="left"/>
        <w:rPr>
          <w:color w:val="000000"/>
          <w:sz w:val="22"/>
          <w:szCs w:val="22"/>
        </w:rPr>
      </w:pPr>
      <w:r w:rsidRPr="00476849">
        <w:rPr>
          <w:color w:val="000000"/>
          <w:sz w:val="22"/>
          <w:szCs w:val="22"/>
        </w:rPr>
        <w:t>Corporations Act 2001 - Revocation of Financial Stability Standards 2012 [F2012L02539]</w:t>
      </w:r>
    </w:p>
    <w:p w:rsidR="00EC5913" w:rsidRPr="00476849" w:rsidRDefault="00EC5913" w:rsidP="00EC5913">
      <w:pPr>
        <w:spacing w:after="0"/>
        <w:ind w:right="-46"/>
        <w:rPr>
          <w:color w:val="000000"/>
          <w:sz w:val="22"/>
          <w:szCs w:val="22"/>
        </w:rPr>
      </w:pPr>
    </w:p>
    <w:p w:rsidR="00EC5913" w:rsidRPr="00476849" w:rsidRDefault="00EC5913" w:rsidP="00EC5913">
      <w:pPr>
        <w:spacing w:after="120"/>
        <w:ind w:right="-45"/>
        <w:rPr>
          <w:sz w:val="24"/>
          <w:szCs w:val="24"/>
        </w:rPr>
      </w:pPr>
      <w:r w:rsidRPr="00476849">
        <w:rPr>
          <w:b/>
          <w:i/>
          <w:sz w:val="24"/>
          <w:szCs w:val="24"/>
        </w:rPr>
        <w:t>Customs Act 1901</w:t>
      </w:r>
    </w:p>
    <w:p w:rsidR="00EC5913" w:rsidRPr="00476849" w:rsidRDefault="00EC5913" w:rsidP="00EC5913">
      <w:pPr>
        <w:spacing w:after="0"/>
        <w:ind w:right="-46"/>
        <w:jc w:val="left"/>
        <w:rPr>
          <w:sz w:val="22"/>
          <w:szCs w:val="22"/>
        </w:rPr>
      </w:pPr>
      <w:r w:rsidRPr="00476849">
        <w:rPr>
          <w:sz w:val="22"/>
          <w:szCs w:val="22"/>
        </w:rPr>
        <w:t>Customs (Malaysian Rules of Origin) Regulation 2012 [Select Legislative Instrument 2012 No. 318] [F2012L02435]</w:t>
      </w:r>
    </w:p>
    <w:p w:rsidR="00EC5913" w:rsidRPr="00476849" w:rsidRDefault="00EC5913" w:rsidP="00EC5913">
      <w:pPr>
        <w:spacing w:after="0"/>
        <w:ind w:right="-46"/>
        <w:rPr>
          <w:sz w:val="22"/>
          <w:szCs w:val="22"/>
        </w:rPr>
      </w:pPr>
    </w:p>
    <w:p w:rsidR="00EC5913" w:rsidRPr="00476849" w:rsidRDefault="00EC5913" w:rsidP="00EC5913">
      <w:pPr>
        <w:spacing w:after="120"/>
        <w:ind w:right="-45"/>
        <w:rPr>
          <w:sz w:val="24"/>
          <w:szCs w:val="24"/>
        </w:rPr>
      </w:pPr>
      <w:r w:rsidRPr="00476849">
        <w:rPr>
          <w:b/>
          <w:i/>
          <w:sz w:val="24"/>
          <w:szCs w:val="24"/>
        </w:rPr>
        <w:t>Education Services for Overseas Students (TPS Levies) Act 2012</w:t>
      </w:r>
    </w:p>
    <w:p w:rsidR="00EC5913" w:rsidRPr="00476849" w:rsidRDefault="00EC5913" w:rsidP="00EC5913">
      <w:pPr>
        <w:spacing w:after="0"/>
        <w:ind w:right="-46"/>
        <w:jc w:val="left"/>
        <w:rPr>
          <w:sz w:val="22"/>
          <w:szCs w:val="22"/>
        </w:rPr>
      </w:pPr>
      <w:r w:rsidRPr="00476849">
        <w:rPr>
          <w:sz w:val="22"/>
          <w:szCs w:val="22"/>
        </w:rPr>
        <w:t>Education Services for Overseas Students (TPS Levies) (Risk Rated Premium and Special Tuition Protection Components) Determination 2012 [F2012L02575]</w:t>
      </w:r>
    </w:p>
    <w:p w:rsidR="00EC5913" w:rsidRPr="00476849" w:rsidRDefault="00EC5913" w:rsidP="00EC5913">
      <w:pPr>
        <w:spacing w:after="0"/>
        <w:ind w:right="-46"/>
        <w:rPr>
          <w:sz w:val="22"/>
          <w:szCs w:val="22"/>
        </w:rPr>
      </w:pPr>
    </w:p>
    <w:p w:rsidR="00EC5913" w:rsidRPr="00476849" w:rsidRDefault="00EC5913" w:rsidP="00EC5913">
      <w:pPr>
        <w:spacing w:after="120"/>
        <w:ind w:right="-45"/>
        <w:rPr>
          <w:sz w:val="24"/>
          <w:szCs w:val="24"/>
        </w:rPr>
      </w:pPr>
      <w:r w:rsidRPr="00476849">
        <w:rPr>
          <w:b/>
          <w:i/>
          <w:sz w:val="24"/>
          <w:szCs w:val="24"/>
        </w:rPr>
        <w:t>Environment Protection and Biodiversity Conservation Act 1999</w:t>
      </w:r>
    </w:p>
    <w:p w:rsidR="00EC5913" w:rsidRPr="00476849" w:rsidRDefault="00EC5913" w:rsidP="00EC5913">
      <w:pPr>
        <w:spacing w:after="60"/>
        <w:ind w:right="-45"/>
        <w:jc w:val="left"/>
        <w:rPr>
          <w:sz w:val="22"/>
          <w:szCs w:val="22"/>
        </w:rPr>
      </w:pPr>
      <w:r w:rsidRPr="00476849">
        <w:rPr>
          <w:sz w:val="22"/>
          <w:szCs w:val="22"/>
        </w:rPr>
        <w:t>Amendment of List of Exempt Native Specimens – Western Australian Marine Aquarium Fish Managed Fishery (21/12/2012) (deletion) [F2013L00008]</w:t>
      </w:r>
    </w:p>
    <w:p w:rsidR="00EC5913" w:rsidRPr="00476849" w:rsidRDefault="00EC5913" w:rsidP="00EC5913">
      <w:pPr>
        <w:spacing w:after="0"/>
        <w:ind w:right="-46"/>
        <w:jc w:val="left"/>
        <w:rPr>
          <w:sz w:val="22"/>
          <w:szCs w:val="22"/>
        </w:rPr>
      </w:pPr>
      <w:r w:rsidRPr="00476849">
        <w:rPr>
          <w:sz w:val="22"/>
          <w:szCs w:val="22"/>
        </w:rPr>
        <w:t>Amendment of List of Exempt Native Specimens – Western Australian Marine Aquarium Fish Managed Fishery (21/12/2012) (inclusion) [F2013L00007]</w:t>
      </w:r>
    </w:p>
    <w:p w:rsidR="00EC5913" w:rsidRPr="00476849" w:rsidRDefault="00EC5913" w:rsidP="00EC5913">
      <w:pPr>
        <w:spacing w:after="120"/>
        <w:jc w:val="left"/>
        <w:rPr>
          <w:sz w:val="24"/>
          <w:szCs w:val="24"/>
        </w:rPr>
      </w:pPr>
      <w:r>
        <w:rPr>
          <w:b/>
          <w:i/>
          <w:sz w:val="24"/>
          <w:szCs w:val="24"/>
        </w:rPr>
        <w:br w:type="page"/>
      </w:r>
      <w:r w:rsidRPr="00476849">
        <w:rPr>
          <w:b/>
          <w:i/>
          <w:sz w:val="24"/>
          <w:szCs w:val="24"/>
        </w:rPr>
        <w:lastRenderedPageBreak/>
        <w:t>Fair Entitlements Guarantee Act 2012</w:t>
      </w:r>
    </w:p>
    <w:p w:rsidR="00EC5913" w:rsidRPr="00476849" w:rsidRDefault="00EC5913" w:rsidP="00EC5913">
      <w:pPr>
        <w:spacing w:after="0"/>
        <w:ind w:right="-46"/>
        <w:jc w:val="left"/>
        <w:rPr>
          <w:color w:val="000000"/>
          <w:sz w:val="22"/>
          <w:szCs w:val="22"/>
        </w:rPr>
      </w:pPr>
      <w:r w:rsidRPr="00476849">
        <w:rPr>
          <w:color w:val="000000"/>
          <w:sz w:val="22"/>
          <w:szCs w:val="22"/>
        </w:rPr>
        <w:t>Fair Entitlements Guarantee Regulation 2012 [Select Legislative Instrument 2012 No. 326] [F2012L02474]</w:t>
      </w:r>
    </w:p>
    <w:p w:rsidR="00EC5913" w:rsidRPr="00476849" w:rsidRDefault="00EC5913" w:rsidP="00EC5913">
      <w:pPr>
        <w:spacing w:after="0"/>
        <w:ind w:right="-46"/>
        <w:rPr>
          <w:color w:val="000000"/>
          <w:sz w:val="22"/>
          <w:szCs w:val="22"/>
        </w:rPr>
      </w:pPr>
    </w:p>
    <w:p w:rsidR="00EC5913" w:rsidRPr="00476849" w:rsidRDefault="00EC5913" w:rsidP="00EC5913">
      <w:pPr>
        <w:spacing w:after="120"/>
        <w:ind w:right="-45"/>
        <w:rPr>
          <w:sz w:val="24"/>
          <w:szCs w:val="24"/>
        </w:rPr>
      </w:pPr>
      <w:r w:rsidRPr="00476849">
        <w:rPr>
          <w:b/>
          <w:i/>
          <w:sz w:val="24"/>
          <w:szCs w:val="24"/>
        </w:rPr>
        <w:t>Family Law Act 1975</w:t>
      </w:r>
    </w:p>
    <w:p w:rsidR="00EC5913" w:rsidRPr="00476849" w:rsidRDefault="00EC5913" w:rsidP="00EC5913">
      <w:pPr>
        <w:spacing w:after="0"/>
        <w:ind w:right="-46"/>
        <w:jc w:val="left"/>
        <w:rPr>
          <w:sz w:val="22"/>
          <w:szCs w:val="22"/>
        </w:rPr>
      </w:pPr>
      <w:r w:rsidRPr="00476849">
        <w:rPr>
          <w:sz w:val="22"/>
          <w:szCs w:val="22"/>
        </w:rPr>
        <w:t>Family Law Amendment Rules 2012 (No. 2) [Select Legislative Instrument 2012 No. 331] [F2012L02577]</w:t>
      </w:r>
    </w:p>
    <w:p w:rsidR="00EC5913" w:rsidRPr="00476849" w:rsidRDefault="00EC5913" w:rsidP="00EC5913">
      <w:pPr>
        <w:spacing w:after="0"/>
        <w:ind w:right="-46"/>
        <w:rPr>
          <w:sz w:val="22"/>
          <w:szCs w:val="22"/>
        </w:rPr>
      </w:pPr>
    </w:p>
    <w:p w:rsidR="00EC5913" w:rsidRPr="00476849" w:rsidRDefault="00EC5913" w:rsidP="00EC5913">
      <w:pPr>
        <w:spacing w:after="120"/>
        <w:ind w:right="-45"/>
        <w:rPr>
          <w:sz w:val="24"/>
          <w:szCs w:val="24"/>
        </w:rPr>
      </w:pPr>
      <w:r w:rsidRPr="00476849">
        <w:rPr>
          <w:b/>
          <w:i/>
          <w:sz w:val="24"/>
          <w:szCs w:val="24"/>
        </w:rPr>
        <w:t>Financial Sector (Collection of Data) Act 2001</w:t>
      </w:r>
    </w:p>
    <w:p w:rsidR="00EC5913" w:rsidRPr="00461AEB" w:rsidRDefault="00EC5913" w:rsidP="00EC5913">
      <w:pPr>
        <w:spacing w:after="60"/>
        <w:ind w:right="-45"/>
        <w:jc w:val="left"/>
        <w:rPr>
          <w:color w:val="000000"/>
          <w:sz w:val="22"/>
          <w:szCs w:val="22"/>
        </w:rPr>
      </w:pPr>
      <w:r w:rsidRPr="00461AEB">
        <w:rPr>
          <w:color w:val="000000"/>
          <w:sz w:val="22"/>
          <w:szCs w:val="22"/>
        </w:rPr>
        <w:t>Financial Sector (Collection of Data) (reporting standard) determination No. 8 of 2012 - ARS 112.2 - Standardised Credit Risk - Off-balance Sheet Exposures [F2012L02498]</w:t>
      </w:r>
    </w:p>
    <w:p w:rsidR="00EC5913" w:rsidRPr="00461AEB" w:rsidRDefault="00EC5913" w:rsidP="00EC5913">
      <w:pPr>
        <w:spacing w:after="60"/>
        <w:ind w:right="-45"/>
        <w:jc w:val="left"/>
        <w:rPr>
          <w:color w:val="000000"/>
          <w:sz w:val="22"/>
          <w:szCs w:val="22"/>
        </w:rPr>
      </w:pPr>
      <w:r w:rsidRPr="00461AEB">
        <w:rPr>
          <w:color w:val="000000"/>
          <w:sz w:val="22"/>
          <w:szCs w:val="22"/>
        </w:rPr>
        <w:t>Financial Sector (Collection of Data) (reporting standard) determination No. 9 of 2012 - ARS 113.4 - Internal Ratings-based (IRB) Approach to Credit Risk - Other Assets, Claims and Exposures [F2012L02487]</w:t>
      </w:r>
    </w:p>
    <w:p w:rsidR="00EC5913" w:rsidRPr="00461AEB" w:rsidRDefault="00EC5913" w:rsidP="00EC5913">
      <w:pPr>
        <w:spacing w:after="60"/>
        <w:ind w:right="-45"/>
        <w:jc w:val="left"/>
        <w:rPr>
          <w:color w:val="000000"/>
          <w:sz w:val="22"/>
          <w:szCs w:val="22"/>
        </w:rPr>
      </w:pPr>
      <w:r w:rsidRPr="00461AEB">
        <w:rPr>
          <w:color w:val="000000"/>
          <w:sz w:val="22"/>
          <w:szCs w:val="22"/>
        </w:rPr>
        <w:t>Financial Sector (Collection of Data) (reporting standard) determination No. 10 of 2012 - ARS 116.0 - Market Risk [F2012L02488]</w:t>
      </w:r>
    </w:p>
    <w:p w:rsidR="00EC5913" w:rsidRPr="00461AEB" w:rsidRDefault="00EC5913" w:rsidP="00EC5913">
      <w:pPr>
        <w:spacing w:after="60"/>
        <w:ind w:right="-45"/>
        <w:jc w:val="left"/>
        <w:rPr>
          <w:color w:val="000000"/>
          <w:sz w:val="22"/>
          <w:szCs w:val="22"/>
        </w:rPr>
      </w:pPr>
      <w:r w:rsidRPr="00461AEB">
        <w:rPr>
          <w:color w:val="000000"/>
          <w:sz w:val="22"/>
          <w:szCs w:val="22"/>
        </w:rPr>
        <w:t>Financial Sector (Collection of Data) (reporting standard) determination No. 11 of 2012 - ARS 117.0 - Repricing Analysis [F2012L02490]</w:t>
      </w:r>
    </w:p>
    <w:p w:rsidR="00EC5913" w:rsidRPr="00461AEB" w:rsidRDefault="00EC5913" w:rsidP="00EC5913">
      <w:pPr>
        <w:spacing w:after="60"/>
        <w:ind w:right="-45"/>
        <w:jc w:val="left"/>
        <w:rPr>
          <w:color w:val="000000"/>
          <w:sz w:val="22"/>
          <w:szCs w:val="22"/>
        </w:rPr>
      </w:pPr>
      <w:r w:rsidRPr="00461AEB">
        <w:rPr>
          <w:color w:val="000000"/>
          <w:sz w:val="22"/>
          <w:szCs w:val="22"/>
        </w:rPr>
        <w:t>Financial Sector (Collection of Data) (reporting standard) determination No. 12 of 2012 - ARS 120.0 - Standardised Approach – Securitisation [F2012L02489]</w:t>
      </w:r>
    </w:p>
    <w:p w:rsidR="00EC5913" w:rsidRPr="00461AEB" w:rsidRDefault="00EC5913" w:rsidP="00EC5913">
      <w:pPr>
        <w:spacing w:after="0"/>
        <w:ind w:right="-46"/>
        <w:jc w:val="left"/>
        <w:rPr>
          <w:color w:val="000000"/>
          <w:sz w:val="22"/>
          <w:szCs w:val="22"/>
        </w:rPr>
      </w:pPr>
      <w:r w:rsidRPr="00461AEB">
        <w:rPr>
          <w:color w:val="000000"/>
          <w:sz w:val="22"/>
          <w:szCs w:val="22"/>
        </w:rPr>
        <w:t>Financial Sector (Collection of Data) (reporting standard) determination No. 13 of 2012 - ARS 120.1 - Internal Ratings-based (IRB) Approach – Securitisation [F2012L02491]</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sz w:val="24"/>
          <w:szCs w:val="24"/>
        </w:rPr>
      </w:pPr>
      <w:r w:rsidRPr="00461AEB">
        <w:rPr>
          <w:b/>
          <w:i/>
          <w:sz w:val="24"/>
          <w:szCs w:val="24"/>
        </w:rPr>
        <w:t>Fisheries Management Act 1991</w:t>
      </w:r>
    </w:p>
    <w:p w:rsidR="00EC5913" w:rsidRPr="00461AEB" w:rsidRDefault="00EC5913" w:rsidP="00EC5913">
      <w:pPr>
        <w:spacing w:after="0"/>
        <w:ind w:right="-46"/>
        <w:jc w:val="left"/>
        <w:rPr>
          <w:sz w:val="22"/>
          <w:szCs w:val="22"/>
        </w:rPr>
      </w:pPr>
      <w:r w:rsidRPr="00461AEB">
        <w:rPr>
          <w:sz w:val="22"/>
          <w:szCs w:val="22"/>
        </w:rPr>
        <w:t>Southern Bluefin Tuna Fishery Verified Count Determination 2012 [F2012L02590]</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Health Insurance Act 1973</w:t>
      </w:r>
    </w:p>
    <w:p w:rsidR="00EC5913" w:rsidRPr="00461AEB" w:rsidRDefault="00EC5913" w:rsidP="00EC5913">
      <w:pPr>
        <w:spacing w:after="60"/>
        <w:ind w:right="-45"/>
        <w:jc w:val="left"/>
        <w:rPr>
          <w:color w:val="000000"/>
          <w:sz w:val="22"/>
          <w:szCs w:val="22"/>
        </w:rPr>
      </w:pPr>
      <w:r w:rsidRPr="00461AEB">
        <w:rPr>
          <w:color w:val="000000"/>
          <w:sz w:val="22"/>
          <w:szCs w:val="22"/>
        </w:rPr>
        <w:t>Health Insurance (Allied Health Services) Amendment Determination 2012 (No. 5) [F2012L02493]</w:t>
      </w:r>
    </w:p>
    <w:p w:rsidR="00EC5913" w:rsidRPr="00461AEB" w:rsidRDefault="00EC5913" w:rsidP="00EC5913">
      <w:pPr>
        <w:spacing w:after="60"/>
        <w:ind w:right="-45"/>
        <w:jc w:val="left"/>
        <w:rPr>
          <w:color w:val="000000"/>
          <w:sz w:val="22"/>
          <w:szCs w:val="22"/>
        </w:rPr>
      </w:pPr>
      <w:r w:rsidRPr="00461AEB">
        <w:rPr>
          <w:color w:val="000000"/>
          <w:sz w:val="22"/>
          <w:szCs w:val="22"/>
        </w:rPr>
        <w:t>Health Insurance (Diabetes Testing in Aboriginal and Torres Strait Islander Primary Health Care Sites) Amendment Determination 2012 (No. 1) [F2012L02513]</w:t>
      </w:r>
    </w:p>
    <w:p w:rsidR="00EC5913" w:rsidRPr="00461AEB" w:rsidRDefault="00EC5913" w:rsidP="00EC5913">
      <w:pPr>
        <w:spacing w:after="60"/>
        <w:ind w:right="-45"/>
        <w:jc w:val="left"/>
        <w:rPr>
          <w:color w:val="000000"/>
          <w:sz w:val="22"/>
          <w:szCs w:val="22"/>
        </w:rPr>
      </w:pPr>
      <w:r w:rsidRPr="00461AEB">
        <w:rPr>
          <w:color w:val="000000"/>
          <w:sz w:val="22"/>
          <w:szCs w:val="22"/>
        </w:rPr>
        <w:t>Health Insurance (Diagnostic Imaging Capital Sensitivity) Amendment Determination 2012 (No. 3) [F2012L02510]</w:t>
      </w:r>
    </w:p>
    <w:p w:rsidR="00EC5913" w:rsidRPr="00461AEB" w:rsidRDefault="00EC5913" w:rsidP="00EC5913">
      <w:pPr>
        <w:spacing w:after="60"/>
        <w:ind w:right="-45"/>
        <w:jc w:val="left"/>
        <w:rPr>
          <w:color w:val="000000"/>
          <w:sz w:val="22"/>
          <w:szCs w:val="22"/>
        </w:rPr>
      </w:pPr>
      <w:r w:rsidRPr="00461AEB">
        <w:rPr>
          <w:color w:val="000000"/>
          <w:sz w:val="22"/>
          <w:szCs w:val="22"/>
        </w:rPr>
        <w:t>Health Insurance (Midwife and Nurse Practitioner) Amendment Determination 2012 (No. 2) [F2012L02507]</w:t>
      </w:r>
    </w:p>
    <w:p w:rsidR="00EC5913" w:rsidRPr="00461AEB" w:rsidRDefault="00EC5913" w:rsidP="00EC5913">
      <w:pPr>
        <w:spacing w:after="60"/>
        <w:ind w:right="-45"/>
        <w:jc w:val="left"/>
        <w:rPr>
          <w:color w:val="000000"/>
          <w:sz w:val="22"/>
          <w:szCs w:val="22"/>
        </w:rPr>
      </w:pPr>
      <w:r w:rsidRPr="00461AEB">
        <w:rPr>
          <w:color w:val="000000"/>
          <w:sz w:val="22"/>
          <w:szCs w:val="22"/>
        </w:rPr>
        <w:t>Health Insurance (Pathologist-determinable Services) Amendment Determination 2012 [F2012L02532]</w:t>
      </w:r>
    </w:p>
    <w:p w:rsidR="00EC5913" w:rsidRPr="00461AEB" w:rsidRDefault="00EC5913" w:rsidP="00EC5913">
      <w:pPr>
        <w:spacing w:after="0"/>
        <w:ind w:right="-46"/>
        <w:jc w:val="left"/>
        <w:rPr>
          <w:color w:val="000000"/>
          <w:sz w:val="22"/>
          <w:szCs w:val="22"/>
        </w:rPr>
      </w:pPr>
      <w:r w:rsidRPr="00461AEB">
        <w:rPr>
          <w:color w:val="000000"/>
          <w:sz w:val="22"/>
          <w:szCs w:val="22"/>
        </w:rPr>
        <w:t>Health Insurance (Professional Services Review - Allied Health and Others) Determination 2012 [F2012L02519]</w:t>
      </w:r>
    </w:p>
    <w:p w:rsidR="00EC5913" w:rsidRPr="00461AEB" w:rsidRDefault="00EC5913" w:rsidP="00EC5913">
      <w:pPr>
        <w:spacing w:after="0"/>
        <w:ind w:right="-46"/>
        <w:rPr>
          <w:color w:val="000000"/>
          <w:sz w:val="22"/>
          <w:szCs w:val="22"/>
        </w:rPr>
      </w:pPr>
    </w:p>
    <w:p w:rsidR="00EC5913" w:rsidRPr="0085312A" w:rsidRDefault="00EC5913" w:rsidP="00EC5913">
      <w:pPr>
        <w:spacing w:after="120"/>
        <w:ind w:right="-45"/>
      </w:pPr>
      <w:r w:rsidRPr="00F5071E">
        <w:rPr>
          <w:b/>
          <w:i/>
        </w:rPr>
        <w:t>Higher Education Support 2003</w:t>
      </w:r>
    </w:p>
    <w:p w:rsidR="00EC5913" w:rsidRPr="00461AEB" w:rsidRDefault="00EC5913" w:rsidP="00EC5913">
      <w:pPr>
        <w:spacing w:after="60"/>
        <w:ind w:right="-45"/>
        <w:jc w:val="left"/>
        <w:rPr>
          <w:color w:val="000000"/>
          <w:sz w:val="22"/>
          <w:szCs w:val="22"/>
        </w:rPr>
      </w:pPr>
      <w:r w:rsidRPr="00461AEB">
        <w:rPr>
          <w:color w:val="000000"/>
          <w:sz w:val="22"/>
          <w:szCs w:val="22"/>
        </w:rPr>
        <w:t>Commonwealth Scholarships Guidelines (Research) 2012 [F2012L02535</w:t>
      </w:r>
    </w:p>
    <w:p w:rsidR="00EC5913" w:rsidRPr="00461AEB" w:rsidRDefault="00EC5913" w:rsidP="00EC5913">
      <w:pPr>
        <w:spacing w:after="60"/>
        <w:ind w:right="-45"/>
        <w:jc w:val="left"/>
        <w:rPr>
          <w:color w:val="000000"/>
          <w:sz w:val="22"/>
          <w:szCs w:val="22"/>
        </w:rPr>
      </w:pPr>
      <w:r w:rsidRPr="00461AEB">
        <w:rPr>
          <w:color w:val="000000"/>
          <w:sz w:val="22"/>
          <w:szCs w:val="22"/>
        </w:rPr>
        <w:t>Higher Education (Maximum Amount for Special Purpose Advances) Specification 2012 [F2012L02476]</w:t>
      </w:r>
    </w:p>
    <w:p w:rsidR="00EC5913" w:rsidRPr="00461AEB" w:rsidRDefault="00EC5913" w:rsidP="00EC5913">
      <w:pPr>
        <w:spacing w:after="60"/>
        <w:ind w:right="-45"/>
        <w:jc w:val="left"/>
        <w:rPr>
          <w:color w:val="000000"/>
          <w:sz w:val="22"/>
          <w:szCs w:val="22"/>
        </w:rPr>
      </w:pPr>
      <w:r w:rsidRPr="00461AEB">
        <w:rPr>
          <w:color w:val="000000"/>
          <w:sz w:val="22"/>
          <w:szCs w:val="22"/>
        </w:rPr>
        <w:t>Higher Education Provider Approval No. 14 of 2012 [F2012L02517]</w:t>
      </w:r>
    </w:p>
    <w:p w:rsidR="00EC5913" w:rsidRPr="00461AEB" w:rsidRDefault="00EC5913" w:rsidP="00EC5913">
      <w:pPr>
        <w:spacing w:after="60"/>
        <w:ind w:right="-45"/>
        <w:jc w:val="left"/>
        <w:rPr>
          <w:color w:val="000000"/>
          <w:sz w:val="22"/>
          <w:szCs w:val="22"/>
        </w:rPr>
      </w:pPr>
      <w:r w:rsidRPr="00461AEB">
        <w:rPr>
          <w:color w:val="000000"/>
          <w:sz w:val="22"/>
          <w:szCs w:val="22"/>
        </w:rPr>
        <w:t>Higher Education Support Act 2003 - List prepared pursuant to Division 41 [F2012L02514]</w:t>
      </w:r>
    </w:p>
    <w:p w:rsidR="00EC5913" w:rsidRPr="00461AEB" w:rsidRDefault="00EC5913" w:rsidP="00EC5913">
      <w:pPr>
        <w:spacing w:after="60"/>
        <w:ind w:right="-45"/>
        <w:jc w:val="left"/>
        <w:rPr>
          <w:color w:val="000000"/>
          <w:sz w:val="22"/>
          <w:szCs w:val="22"/>
        </w:rPr>
      </w:pPr>
      <w:r w:rsidRPr="00461AEB">
        <w:rPr>
          <w:color w:val="000000"/>
          <w:sz w:val="22"/>
          <w:szCs w:val="22"/>
        </w:rPr>
        <w:t>Higher Education Support Act 2003 – Other Grants Guidelines (Education) 2012 (DIISRTE) – Amendment No. 1 [F2012L02587]</w:t>
      </w:r>
    </w:p>
    <w:p w:rsidR="00EC5913" w:rsidRPr="00461AEB" w:rsidRDefault="00EC5913" w:rsidP="00EC5913">
      <w:pPr>
        <w:spacing w:after="60"/>
        <w:ind w:right="-45"/>
        <w:jc w:val="left"/>
        <w:rPr>
          <w:color w:val="000000"/>
          <w:sz w:val="22"/>
          <w:szCs w:val="22"/>
        </w:rPr>
      </w:pPr>
      <w:r w:rsidRPr="00461AEB">
        <w:rPr>
          <w:color w:val="000000"/>
          <w:sz w:val="22"/>
          <w:szCs w:val="22"/>
        </w:rPr>
        <w:t>Higher Education Support Act 2003 - VET Guidelines [F2012L02569]</w:t>
      </w:r>
    </w:p>
    <w:p w:rsidR="00EC5913" w:rsidRPr="00461AEB" w:rsidRDefault="00EC5913" w:rsidP="00EC5913">
      <w:pPr>
        <w:spacing w:after="60"/>
        <w:ind w:right="-45"/>
        <w:jc w:val="left"/>
        <w:rPr>
          <w:color w:val="000000"/>
          <w:sz w:val="22"/>
          <w:szCs w:val="22"/>
        </w:rPr>
      </w:pPr>
      <w:r w:rsidRPr="00461AEB">
        <w:rPr>
          <w:color w:val="000000"/>
          <w:sz w:val="22"/>
          <w:szCs w:val="22"/>
        </w:rPr>
        <w:lastRenderedPageBreak/>
        <w:t>Higher Education Support Act 2003 - VET Provider Approval (No. 27 of 2012) [F2012L02516]</w:t>
      </w:r>
    </w:p>
    <w:p w:rsidR="00EC5913" w:rsidRPr="00461AEB" w:rsidRDefault="00EC5913" w:rsidP="00EC5913">
      <w:pPr>
        <w:spacing w:after="60"/>
        <w:ind w:right="-45"/>
        <w:jc w:val="left"/>
        <w:rPr>
          <w:color w:val="000000"/>
          <w:sz w:val="22"/>
          <w:szCs w:val="22"/>
        </w:rPr>
      </w:pPr>
      <w:r w:rsidRPr="00461AEB">
        <w:rPr>
          <w:color w:val="000000"/>
          <w:sz w:val="22"/>
          <w:szCs w:val="22"/>
        </w:rPr>
        <w:t>Higher Education Support Act 2003 - VET Provider Approval (No. 28 of 2012) [F2012L02557]</w:t>
      </w:r>
    </w:p>
    <w:p w:rsidR="00EC5913" w:rsidRPr="00461AEB" w:rsidRDefault="00EC5913" w:rsidP="00EC5913">
      <w:pPr>
        <w:spacing w:after="0"/>
        <w:ind w:right="-46"/>
        <w:jc w:val="left"/>
        <w:rPr>
          <w:color w:val="000000"/>
          <w:sz w:val="22"/>
          <w:szCs w:val="22"/>
        </w:rPr>
      </w:pPr>
      <w:r w:rsidRPr="00461AEB">
        <w:rPr>
          <w:color w:val="000000"/>
          <w:sz w:val="22"/>
          <w:szCs w:val="22"/>
        </w:rPr>
        <w:t>Higher Education Support Act 2003 - VET Provider Approval (No. 1 of 2013) [F2013L00032]</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Horticultural Marketing and Research and Development Services Act 2000</w:t>
      </w:r>
    </w:p>
    <w:p w:rsidR="00EC5913" w:rsidRPr="00461AEB" w:rsidRDefault="00EC5913" w:rsidP="00EC5913">
      <w:pPr>
        <w:spacing w:after="0"/>
        <w:ind w:right="-46"/>
        <w:jc w:val="left"/>
        <w:rPr>
          <w:sz w:val="22"/>
          <w:szCs w:val="22"/>
        </w:rPr>
      </w:pPr>
      <w:r w:rsidRPr="00461AEB">
        <w:rPr>
          <w:sz w:val="22"/>
          <w:szCs w:val="22"/>
        </w:rPr>
        <w:t>Horticulture Marketing and Research and Development Services Export Orders Revocation Order 2013 [F2013L00028]</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Life Insurance Act 1995</w:t>
      </w:r>
    </w:p>
    <w:p w:rsidR="00EC5913" w:rsidRPr="00461AEB" w:rsidRDefault="00EC5913" w:rsidP="00EC5913">
      <w:pPr>
        <w:spacing w:after="60"/>
        <w:ind w:right="-45"/>
        <w:jc w:val="left"/>
        <w:rPr>
          <w:color w:val="000000"/>
          <w:sz w:val="22"/>
          <w:szCs w:val="22"/>
        </w:rPr>
      </w:pPr>
      <w:r w:rsidRPr="00461AEB">
        <w:rPr>
          <w:color w:val="000000"/>
          <w:sz w:val="22"/>
          <w:szCs w:val="22"/>
        </w:rPr>
        <w:t>Life Insurance (prudential standard) determination No. 11 of 2012 - Prudential Standard LPS 320 - Actuarial and Related Matters [F2012L02496]</w:t>
      </w:r>
    </w:p>
    <w:p w:rsidR="00EC5913" w:rsidRPr="00461AEB" w:rsidRDefault="00EC5913" w:rsidP="00EC5913">
      <w:pPr>
        <w:spacing w:after="0"/>
        <w:ind w:right="-46"/>
        <w:jc w:val="left"/>
        <w:rPr>
          <w:color w:val="000000"/>
          <w:sz w:val="22"/>
          <w:szCs w:val="22"/>
        </w:rPr>
      </w:pPr>
      <w:r w:rsidRPr="00461AEB">
        <w:rPr>
          <w:color w:val="000000"/>
          <w:sz w:val="22"/>
          <w:szCs w:val="22"/>
        </w:rPr>
        <w:t>Life Insurance (prudential standard) determination No. 15 of 2012 - Prudential Standard LPS 600 - Statutory Funds [F2012L02481]</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sz w:val="24"/>
          <w:szCs w:val="24"/>
        </w:rPr>
      </w:pPr>
      <w:r w:rsidRPr="00461AEB">
        <w:rPr>
          <w:b/>
          <w:i/>
          <w:sz w:val="24"/>
          <w:szCs w:val="24"/>
        </w:rPr>
        <w:t>Motor Vehicle Standards Act 1989</w:t>
      </w:r>
    </w:p>
    <w:p w:rsidR="00EC5913" w:rsidRPr="00461AEB" w:rsidRDefault="00EC5913" w:rsidP="00EC5913">
      <w:pPr>
        <w:spacing w:after="0"/>
        <w:ind w:right="-46"/>
        <w:jc w:val="left"/>
        <w:rPr>
          <w:sz w:val="22"/>
          <w:szCs w:val="22"/>
        </w:rPr>
      </w:pPr>
      <w:r w:rsidRPr="00461AEB">
        <w:rPr>
          <w:sz w:val="22"/>
          <w:szCs w:val="22"/>
        </w:rPr>
        <w:t>Vehicle Standard (Australian Design Rule 80/03 – Emission Control for Heavy Vehicles) 2006 Amendment 2 [F2013L00034]</w:t>
      </w:r>
    </w:p>
    <w:p w:rsidR="00EC5913" w:rsidRPr="00461AEB" w:rsidRDefault="00EC5913" w:rsidP="00EC5913">
      <w:pPr>
        <w:spacing w:after="0"/>
        <w:ind w:right="-46"/>
        <w:rPr>
          <w:sz w:val="22"/>
          <w:szCs w:val="22"/>
        </w:rPr>
      </w:pPr>
    </w:p>
    <w:p w:rsidR="00EC5913" w:rsidRPr="0085312A" w:rsidRDefault="00EC5913" w:rsidP="00EC5913">
      <w:pPr>
        <w:spacing w:after="120"/>
        <w:ind w:right="-45"/>
      </w:pPr>
      <w:r w:rsidRPr="00F5071E">
        <w:rPr>
          <w:b/>
          <w:i/>
        </w:rPr>
        <w:t>National Health Act 1953</w:t>
      </w:r>
    </w:p>
    <w:p w:rsidR="00EC5913" w:rsidRPr="00461AEB" w:rsidRDefault="00EC5913" w:rsidP="00EC5913">
      <w:pPr>
        <w:spacing w:after="60"/>
        <w:ind w:right="-45"/>
        <w:jc w:val="left"/>
        <w:rPr>
          <w:color w:val="000000"/>
          <w:sz w:val="22"/>
          <w:szCs w:val="22"/>
        </w:rPr>
      </w:pPr>
      <w:proofErr w:type="gramStart"/>
      <w:r w:rsidRPr="00461AEB">
        <w:rPr>
          <w:color w:val="000000"/>
          <w:sz w:val="22"/>
          <w:szCs w:val="22"/>
        </w:rPr>
        <w:t xml:space="preserve">National Health (Concession or entitlement card fee Amendment Determination 2012 (No. 1) </w:t>
      </w:r>
      <w:r>
        <w:rPr>
          <w:color w:val="000000"/>
          <w:sz w:val="22"/>
          <w:szCs w:val="22"/>
        </w:rPr>
        <w:br/>
      </w:r>
      <w:r w:rsidRPr="00461AEB">
        <w:rPr>
          <w:color w:val="000000"/>
          <w:sz w:val="22"/>
          <w:szCs w:val="22"/>
        </w:rPr>
        <w:t>(No.</w:t>
      </w:r>
      <w:proofErr w:type="gramEnd"/>
      <w:r w:rsidRPr="00461AEB">
        <w:rPr>
          <w:color w:val="000000"/>
          <w:sz w:val="22"/>
          <w:szCs w:val="22"/>
        </w:rPr>
        <w:t xml:space="preserve"> PB 112 of 2012) [F2012L02500]</w:t>
      </w:r>
    </w:p>
    <w:p w:rsidR="00EC5913" w:rsidRPr="00461AEB" w:rsidRDefault="00EC5913" w:rsidP="00EC5913">
      <w:pPr>
        <w:spacing w:after="60"/>
        <w:ind w:right="-45"/>
        <w:jc w:val="left"/>
        <w:rPr>
          <w:color w:val="000000"/>
          <w:sz w:val="22"/>
          <w:szCs w:val="22"/>
        </w:rPr>
      </w:pPr>
      <w:r w:rsidRPr="00461AEB">
        <w:rPr>
          <w:color w:val="000000"/>
          <w:sz w:val="22"/>
          <w:szCs w:val="22"/>
        </w:rPr>
        <w:t>National Health (Highly specialised drugs program for hospitals) Special Arrangement Amendment Instrument 2012 (No. 11) (No. PB 110 of 2012) [F2012L02508]</w:t>
      </w:r>
    </w:p>
    <w:p w:rsidR="00EC5913" w:rsidRPr="00461AEB" w:rsidRDefault="00EC5913" w:rsidP="00EC5913">
      <w:pPr>
        <w:spacing w:after="60"/>
        <w:ind w:right="-45"/>
        <w:jc w:val="left"/>
        <w:rPr>
          <w:color w:val="000000"/>
          <w:sz w:val="22"/>
          <w:szCs w:val="22"/>
        </w:rPr>
      </w:pPr>
      <w:r w:rsidRPr="00461AEB">
        <w:rPr>
          <w:color w:val="000000"/>
          <w:sz w:val="22"/>
          <w:szCs w:val="22"/>
        </w:rPr>
        <w:t>National Health (Immunisation Program – Designated Vaccines) Var</w:t>
      </w:r>
      <w:r>
        <w:rPr>
          <w:color w:val="000000"/>
          <w:sz w:val="22"/>
          <w:szCs w:val="22"/>
        </w:rPr>
        <w:t xml:space="preserve">iation </w:t>
      </w:r>
      <w:proofErr w:type="gramStart"/>
      <w:r>
        <w:rPr>
          <w:color w:val="000000"/>
          <w:sz w:val="22"/>
          <w:szCs w:val="22"/>
        </w:rPr>
        <w:t>Determination  2012</w:t>
      </w:r>
      <w:proofErr w:type="gramEnd"/>
      <w:r>
        <w:rPr>
          <w:color w:val="000000"/>
          <w:sz w:val="22"/>
          <w:szCs w:val="22"/>
        </w:rPr>
        <w:t xml:space="preserve"> (No. </w:t>
      </w:r>
      <w:r w:rsidRPr="00461AEB">
        <w:rPr>
          <w:color w:val="000000"/>
          <w:sz w:val="22"/>
          <w:szCs w:val="22"/>
        </w:rPr>
        <w:t>3) [F2013L00031]</w:t>
      </w:r>
    </w:p>
    <w:p w:rsidR="00EC5913" w:rsidRPr="00461AEB" w:rsidRDefault="00EC5913" w:rsidP="00EC5913">
      <w:pPr>
        <w:spacing w:after="60"/>
        <w:ind w:right="-45"/>
        <w:jc w:val="left"/>
        <w:rPr>
          <w:color w:val="000000"/>
          <w:sz w:val="22"/>
          <w:szCs w:val="22"/>
        </w:rPr>
      </w:pPr>
      <w:proofErr w:type="gramStart"/>
      <w:r w:rsidRPr="00461AEB">
        <w:rPr>
          <w:color w:val="000000"/>
          <w:sz w:val="22"/>
          <w:szCs w:val="22"/>
        </w:rPr>
        <w:t xml:space="preserve">National Health (Listing of Pharmaceutical Benefits) Amendment Instrument 2012 (No. 9) </w:t>
      </w:r>
      <w:r>
        <w:rPr>
          <w:color w:val="000000"/>
          <w:sz w:val="22"/>
          <w:szCs w:val="22"/>
        </w:rPr>
        <w:br/>
      </w:r>
      <w:r w:rsidRPr="00461AEB">
        <w:rPr>
          <w:color w:val="000000"/>
          <w:sz w:val="22"/>
          <w:szCs w:val="22"/>
        </w:rPr>
        <w:t>(No.</w:t>
      </w:r>
      <w:proofErr w:type="gramEnd"/>
      <w:r w:rsidRPr="00461AEB">
        <w:rPr>
          <w:color w:val="000000"/>
          <w:sz w:val="22"/>
          <w:szCs w:val="22"/>
        </w:rPr>
        <w:t xml:space="preserve"> PB 108 of 2012) [F2012L02512]</w:t>
      </w:r>
    </w:p>
    <w:p w:rsidR="00EC5913" w:rsidRPr="00461AEB" w:rsidRDefault="00EC5913" w:rsidP="00EC5913">
      <w:pPr>
        <w:spacing w:after="60"/>
        <w:ind w:right="-45"/>
        <w:jc w:val="left"/>
        <w:rPr>
          <w:color w:val="000000"/>
          <w:sz w:val="22"/>
          <w:szCs w:val="22"/>
        </w:rPr>
      </w:pPr>
      <w:proofErr w:type="gramStart"/>
      <w:r w:rsidRPr="00461AEB">
        <w:rPr>
          <w:color w:val="000000"/>
          <w:sz w:val="22"/>
          <w:szCs w:val="22"/>
        </w:rPr>
        <w:t>National Health (Listing of Pharmaceutical Benefits) Amendment Instrument 2013 (No.1) (No.</w:t>
      </w:r>
      <w:proofErr w:type="gramEnd"/>
      <w:r w:rsidRPr="00461AEB">
        <w:rPr>
          <w:color w:val="000000"/>
          <w:sz w:val="22"/>
          <w:szCs w:val="22"/>
        </w:rPr>
        <w:t xml:space="preserve"> PB 1 of 2013) [F2013L00039]</w:t>
      </w:r>
    </w:p>
    <w:p w:rsidR="00EC5913" w:rsidRPr="00461AEB" w:rsidRDefault="00EC5913" w:rsidP="00EC5913">
      <w:pPr>
        <w:spacing w:after="60"/>
        <w:ind w:right="-45"/>
        <w:jc w:val="left"/>
        <w:rPr>
          <w:color w:val="000000"/>
          <w:sz w:val="22"/>
          <w:szCs w:val="22"/>
        </w:rPr>
      </w:pPr>
      <w:proofErr w:type="gramStart"/>
      <w:r w:rsidRPr="00461AEB">
        <w:rPr>
          <w:color w:val="000000"/>
          <w:sz w:val="22"/>
          <w:szCs w:val="22"/>
        </w:rPr>
        <w:t>National Health (Price and Special Patient Contribution) Amendment Determination 2012 (No. 8) (No.</w:t>
      </w:r>
      <w:proofErr w:type="gramEnd"/>
      <w:r w:rsidRPr="00461AEB">
        <w:rPr>
          <w:color w:val="000000"/>
          <w:sz w:val="22"/>
          <w:szCs w:val="22"/>
        </w:rPr>
        <w:t xml:space="preserve"> PB 109 of 2012) [F2012L02511]</w:t>
      </w:r>
    </w:p>
    <w:p w:rsidR="00EC5913" w:rsidRPr="00461AEB" w:rsidRDefault="00EC5913" w:rsidP="00EC5913">
      <w:pPr>
        <w:spacing w:after="60"/>
        <w:ind w:right="-45"/>
        <w:jc w:val="left"/>
        <w:rPr>
          <w:color w:val="000000"/>
          <w:sz w:val="22"/>
          <w:szCs w:val="22"/>
        </w:rPr>
      </w:pPr>
      <w:proofErr w:type="gramStart"/>
      <w:r w:rsidRPr="00461AEB">
        <w:rPr>
          <w:color w:val="000000"/>
          <w:sz w:val="22"/>
          <w:szCs w:val="22"/>
        </w:rPr>
        <w:t>National Health (Price and Special Patient Contribution) Amendment</w:t>
      </w:r>
      <w:r>
        <w:rPr>
          <w:color w:val="000000"/>
          <w:sz w:val="22"/>
          <w:szCs w:val="22"/>
        </w:rPr>
        <w:t xml:space="preserve"> Determination 2013 (No.1) (No.</w:t>
      </w:r>
      <w:proofErr w:type="gramEnd"/>
      <w:r>
        <w:rPr>
          <w:color w:val="000000"/>
          <w:sz w:val="22"/>
          <w:szCs w:val="22"/>
        </w:rPr>
        <w:t> </w:t>
      </w:r>
      <w:r w:rsidRPr="00461AEB">
        <w:rPr>
          <w:color w:val="000000"/>
          <w:sz w:val="22"/>
          <w:szCs w:val="22"/>
        </w:rPr>
        <w:t>PB 2 of 2013) [F2013L00040]</w:t>
      </w:r>
    </w:p>
    <w:p w:rsidR="00EC5913" w:rsidRPr="00461AEB" w:rsidRDefault="00EC5913" w:rsidP="00EC5913">
      <w:pPr>
        <w:spacing w:after="60"/>
        <w:ind w:right="-45"/>
        <w:jc w:val="left"/>
        <w:rPr>
          <w:color w:val="000000"/>
          <w:sz w:val="22"/>
          <w:szCs w:val="22"/>
        </w:rPr>
      </w:pPr>
      <w:proofErr w:type="gramStart"/>
      <w:r w:rsidRPr="00461AEB">
        <w:rPr>
          <w:color w:val="000000"/>
          <w:sz w:val="22"/>
          <w:szCs w:val="22"/>
        </w:rPr>
        <w:t>National Health (Supplies of out-patient medication) Determination 2012 (No.</w:t>
      </w:r>
      <w:proofErr w:type="gramEnd"/>
      <w:r w:rsidRPr="00461AEB">
        <w:rPr>
          <w:color w:val="000000"/>
          <w:sz w:val="22"/>
          <w:szCs w:val="22"/>
        </w:rPr>
        <w:t xml:space="preserve"> PB 105 of 2012) [F2012L02504]</w:t>
      </w:r>
    </w:p>
    <w:p w:rsidR="00EC5913" w:rsidRPr="00461AEB" w:rsidRDefault="00EC5913" w:rsidP="00EC5913">
      <w:pPr>
        <w:spacing w:after="0"/>
        <w:ind w:right="-46"/>
        <w:jc w:val="left"/>
        <w:rPr>
          <w:color w:val="000000"/>
          <w:sz w:val="22"/>
          <w:szCs w:val="22"/>
        </w:rPr>
      </w:pPr>
      <w:r w:rsidRPr="00461AEB">
        <w:rPr>
          <w:color w:val="000000"/>
          <w:sz w:val="22"/>
          <w:szCs w:val="22"/>
        </w:rPr>
        <w:t>National Health (Weighted average disclosure price - main disclosure</w:t>
      </w:r>
      <w:r>
        <w:rPr>
          <w:color w:val="000000"/>
          <w:sz w:val="22"/>
          <w:szCs w:val="22"/>
        </w:rPr>
        <w:t xml:space="preserve"> cycle) Determination 2012 (No.</w:t>
      </w:r>
      <w:r w:rsidRPr="00461AEB">
        <w:rPr>
          <w:color w:val="000000"/>
          <w:sz w:val="22"/>
          <w:szCs w:val="22"/>
        </w:rPr>
        <w:t>PB 107 of 2012) [F2012L02554]</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National Vocational Education and Training Regulator (Charges) Act 2012</w:t>
      </w:r>
    </w:p>
    <w:p w:rsidR="00EC5913" w:rsidRPr="00461AEB" w:rsidRDefault="00EC5913" w:rsidP="00EC5913">
      <w:pPr>
        <w:spacing w:after="0"/>
        <w:ind w:right="-46"/>
        <w:jc w:val="left"/>
        <w:rPr>
          <w:sz w:val="22"/>
          <w:szCs w:val="22"/>
        </w:rPr>
      </w:pPr>
      <w:r w:rsidRPr="00461AEB">
        <w:rPr>
          <w:sz w:val="22"/>
          <w:szCs w:val="22"/>
        </w:rPr>
        <w:t>National Vocational Education and Training Regulator (Charges) Determination 2012 (No. 1) [F2012L02582]</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Native Title Act 1993</w:t>
      </w:r>
    </w:p>
    <w:p w:rsidR="00EC5913" w:rsidRPr="00461AEB" w:rsidRDefault="00EC5913" w:rsidP="00EC5913">
      <w:pPr>
        <w:spacing w:after="0"/>
        <w:ind w:right="-46"/>
        <w:jc w:val="left"/>
        <w:rPr>
          <w:color w:val="000000"/>
          <w:sz w:val="22"/>
          <w:szCs w:val="22"/>
        </w:rPr>
      </w:pPr>
      <w:r w:rsidRPr="00461AEB">
        <w:rPr>
          <w:color w:val="000000"/>
          <w:sz w:val="22"/>
          <w:szCs w:val="22"/>
        </w:rPr>
        <w:t>Native Title (Assistance from Attorney-General) Guideline 2012 [F2012L02564]</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sz w:val="24"/>
          <w:szCs w:val="24"/>
        </w:rPr>
      </w:pPr>
      <w:r w:rsidRPr="00461AEB">
        <w:rPr>
          <w:b/>
          <w:i/>
          <w:sz w:val="24"/>
          <w:szCs w:val="24"/>
        </w:rPr>
        <w:t>Navigation Act 1912</w:t>
      </w:r>
    </w:p>
    <w:p w:rsidR="00EC5913" w:rsidRPr="00461AEB" w:rsidRDefault="00EC5913" w:rsidP="00EC5913">
      <w:pPr>
        <w:spacing w:after="60"/>
        <w:ind w:right="-45"/>
        <w:jc w:val="left"/>
        <w:rPr>
          <w:sz w:val="22"/>
          <w:szCs w:val="22"/>
        </w:rPr>
      </w:pPr>
      <w:r w:rsidRPr="00461AEB">
        <w:rPr>
          <w:sz w:val="22"/>
          <w:szCs w:val="22"/>
        </w:rPr>
        <w:t>Marine Order 2 (Australian International Shipping Register) 2012 [F2012L02584]</w:t>
      </w:r>
    </w:p>
    <w:p w:rsidR="00EC5913" w:rsidRPr="00461AEB" w:rsidRDefault="00EC5913" w:rsidP="00EC5913">
      <w:pPr>
        <w:spacing w:after="0"/>
        <w:ind w:right="-46"/>
        <w:jc w:val="left"/>
        <w:rPr>
          <w:sz w:val="22"/>
          <w:szCs w:val="22"/>
        </w:rPr>
      </w:pPr>
      <w:r w:rsidRPr="00461AEB">
        <w:rPr>
          <w:sz w:val="22"/>
          <w:szCs w:val="22"/>
        </w:rPr>
        <w:t>Marine Order 25, Issue 7 Amendment 2012 (No. 1) [F2012L02572]</w:t>
      </w:r>
    </w:p>
    <w:p w:rsidR="00EC5913" w:rsidRPr="00461AEB" w:rsidRDefault="00EC5913" w:rsidP="00EC5913">
      <w:pPr>
        <w:spacing w:after="120"/>
        <w:ind w:right="-45"/>
        <w:rPr>
          <w:b/>
          <w:i/>
          <w:sz w:val="24"/>
          <w:szCs w:val="24"/>
        </w:rPr>
      </w:pPr>
      <w:r w:rsidRPr="00461AEB">
        <w:rPr>
          <w:b/>
          <w:i/>
          <w:sz w:val="24"/>
          <w:szCs w:val="24"/>
        </w:rPr>
        <w:lastRenderedPageBreak/>
        <w:t>Nuclear Non-Proliferation (Safeguards) Act 1987</w:t>
      </w:r>
    </w:p>
    <w:p w:rsidR="00EC5913" w:rsidRPr="00461AEB" w:rsidRDefault="00EC5913" w:rsidP="00EC5913">
      <w:pPr>
        <w:spacing w:after="0"/>
        <w:ind w:right="-46"/>
        <w:jc w:val="left"/>
        <w:rPr>
          <w:color w:val="000000"/>
          <w:sz w:val="22"/>
          <w:szCs w:val="22"/>
        </w:rPr>
      </w:pPr>
      <w:r w:rsidRPr="00461AEB">
        <w:rPr>
          <w:color w:val="000000"/>
          <w:sz w:val="22"/>
          <w:szCs w:val="22"/>
        </w:rPr>
        <w:t>Nuclear Non-Proliferation (Safeguards) Amendment Regulation 2012 (No. 1) [Select Legislative Instrument 2012 No. 292] [F2012L02423]</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Offshore Petroleum and Greenhouse Gas Storage (Regulatory Levies) Act 2003</w:t>
      </w:r>
    </w:p>
    <w:p w:rsidR="00EC5913" w:rsidRPr="00461AEB" w:rsidRDefault="00EC5913" w:rsidP="00EC5913">
      <w:pPr>
        <w:spacing w:after="0"/>
        <w:ind w:right="-46"/>
        <w:jc w:val="left"/>
        <w:rPr>
          <w:color w:val="000000"/>
          <w:sz w:val="22"/>
          <w:szCs w:val="22"/>
        </w:rPr>
      </w:pPr>
      <w:r w:rsidRPr="00461AEB">
        <w:rPr>
          <w:color w:val="000000"/>
          <w:sz w:val="22"/>
          <w:szCs w:val="22"/>
        </w:rPr>
        <w:t>Offshore Petroleum and Greenhouse Gas Storage (Regulatory Levies) Amendment Regulation 2012 (No. 1) [Select Legislative Instrument 2012 No. 306] [F2012L02494]</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b/>
          <w:i/>
          <w:sz w:val="24"/>
          <w:szCs w:val="24"/>
        </w:rPr>
      </w:pPr>
      <w:r w:rsidRPr="00461AEB">
        <w:rPr>
          <w:b/>
          <w:i/>
          <w:sz w:val="24"/>
          <w:szCs w:val="24"/>
        </w:rPr>
        <w:t>Paid Parental Leave Act 2010</w:t>
      </w:r>
    </w:p>
    <w:p w:rsidR="00EC5913" w:rsidRPr="00461AEB" w:rsidRDefault="00EC5913" w:rsidP="00EC5913">
      <w:pPr>
        <w:spacing w:after="0"/>
        <w:ind w:right="-46"/>
        <w:jc w:val="left"/>
        <w:rPr>
          <w:sz w:val="22"/>
          <w:szCs w:val="22"/>
        </w:rPr>
      </w:pPr>
      <w:r w:rsidRPr="00461AEB">
        <w:rPr>
          <w:sz w:val="22"/>
          <w:szCs w:val="22"/>
        </w:rPr>
        <w:t>Paid Parental Leave Amendment Rules 2012 (No. 2) [F2012L02576]</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Parliamentary Entitlements Act 1990</w:t>
      </w:r>
    </w:p>
    <w:p w:rsidR="00EC5913" w:rsidRPr="00461AEB" w:rsidRDefault="00EC5913" w:rsidP="00EC5913">
      <w:pPr>
        <w:spacing w:after="0"/>
        <w:ind w:right="-46"/>
        <w:jc w:val="left"/>
        <w:rPr>
          <w:color w:val="000000"/>
          <w:sz w:val="22"/>
          <w:szCs w:val="22"/>
        </w:rPr>
      </w:pPr>
      <w:r w:rsidRPr="00461AEB">
        <w:rPr>
          <w:color w:val="000000"/>
          <w:sz w:val="22"/>
          <w:szCs w:val="22"/>
        </w:rPr>
        <w:t>Parliamentary Entitlements (Supplement of Capped Entitlements) Determination 2012 (No. 1) [F2012L02479]</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Payment Systems (Regulations) Act 1998</w:t>
      </w:r>
    </w:p>
    <w:p w:rsidR="00EC5913" w:rsidRPr="00461AEB" w:rsidRDefault="00EC5913" w:rsidP="00EC5913">
      <w:pPr>
        <w:spacing w:after="0"/>
        <w:ind w:right="-46"/>
        <w:jc w:val="left"/>
        <w:rPr>
          <w:sz w:val="22"/>
          <w:szCs w:val="22"/>
        </w:rPr>
      </w:pPr>
      <w:r w:rsidRPr="00461AEB">
        <w:rPr>
          <w:sz w:val="22"/>
          <w:szCs w:val="22"/>
        </w:rPr>
        <w:t>Payment Systems (Regulations) Act 1998 – Revocation of the Standard on Interchange Fees for the EFTPOS System Designated in Designation No. 2 of 2004 (November 2012) [F2013L00037]</w:t>
      </w:r>
    </w:p>
    <w:p w:rsidR="00EC5913" w:rsidRPr="00461AEB" w:rsidRDefault="00EC5913" w:rsidP="00EC5913">
      <w:pPr>
        <w:spacing w:after="0"/>
        <w:ind w:right="-46"/>
        <w:rPr>
          <w:sz w:val="22"/>
          <w:szCs w:val="22"/>
        </w:rPr>
      </w:pPr>
    </w:p>
    <w:p w:rsidR="00EC5913" w:rsidRPr="00461AEB" w:rsidRDefault="00EC5913" w:rsidP="00EC5913">
      <w:pPr>
        <w:spacing w:after="120"/>
        <w:ind w:right="-45"/>
        <w:rPr>
          <w:b/>
          <w:i/>
          <w:sz w:val="24"/>
          <w:szCs w:val="24"/>
        </w:rPr>
      </w:pPr>
      <w:r w:rsidRPr="00461AEB">
        <w:rPr>
          <w:b/>
          <w:i/>
          <w:sz w:val="24"/>
          <w:szCs w:val="24"/>
        </w:rPr>
        <w:t>Private Health Insurance Act 2007</w:t>
      </w:r>
    </w:p>
    <w:p w:rsidR="00EC5913" w:rsidRPr="00461AEB" w:rsidRDefault="00EC5913" w:rsidP="00EC5913">
      <w:pPr>
        <w:spacing w:after="60"/>
        <w:ind w:right="-45"/>
        <w:jc w:val="left"/>
        <w:rPr>
          <w:color w:val="000000"/>
          <w:sz w:val="22"/>
          <w:szCs w:val="22"/>
        </w:rPr>
      </w:pPr>
      <w:r w:rsidRPr="00461AEB">
        <w:rPr>
          <w:color w:val="000000"/>
          <w:sz w:val="22"/>
          <w:szCs w:val="22"/>
        </w:rPr>
        <w:t>Private Health Insurance (Accreditation) Amendment Rules 2012 (No. 2) [F2013L00004]</w:t>
      </w:r>
    </w:p>
    <w:p w:rsidR="00EC5913" w:rsidRPr="00461AEB" w:rsidRDefault="00EC5913" w:rsidP="00EC5913">
      <w:pPr>
        <w:spacing w:after="60"/>
        <w:ind w:right="-45"/>
        <w:jc w:val="left"/>
        <w:rPr>
          <w:color w:val="000000"/>
          <w:sz w:val="22"/>
          <w:szCs w:val="22"/>
        </w:rPr>
      </w:pPr>
      <w:r w:rsidRPr="00461AEB">
        <w:rPr>
          <w:color w:val="000000"/>
          <w:sz w:val="22"/>
          <w:szCs w:val="22"/>
        </w:rPr>
        <w:t>Private Health Insurance (Benefit Requirements) Amendment Rules 2012 (No. 9) [F2012L02502]</w:t>
      </w:r>
    </w:p>
    <w:p w:rsidR="00EC5913" w:rsidRPr="00461AEB" w:rsidRDefault="00EC5913" w:rsidP="00EC5913">
      <w:pPr>
        <w:spacing w:after="0"/>
        <w:ind w:right="-46"/>
        <w:jc w:val="left"/>
        <w:rPr>
          <w:color w:val="000000"/>
          <w:sz w:val="22"/>
          <w:szCs w:val="22"/>
        </w:rPr>
      </w:pPr>
      <w:r w:rsidRPr="00461AEB">
        <w:rPr>
          <w:color w:val="000000"/>
          <w:sz w:val="22"/>
          <w:szCs w:val="22"/>
        </w:rPr>
        <w:t>Private Health Insurance (Benefit Requirements) Amendment Rules 2012 (No. 10) [F2013L00003]</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Radiocommunications (Receiver Licence Tax) Act 1983</w:t>
      </w:r>
    </w:p>
    <w:p w:rsidR="00EC5913" w:rsidRPr="00461AEB" w:rsidRDefault="00EC5913" w:rsidP="00EC5913">
      <w:pPr>
        <w:spacing w:after="0"/>
        <w:ind w:right="-46"/>
        <w:jc w:val="left"/>
        <w:rPr>
          <w:sz w:val="22"/>
          <w:szCs w:val="22"/>
        </w:rPr>
      </w:pPr>
      <w:r w:rsidRPr="00461AEB">
        <w:rPr>
          <w:sz w:val="22"/>
          <w:szCs w:val="22"/>
        </w:rPr>
        <w:t>Radiocommunications (Receiver Licence Tax) Amendment Determination 2012 (No. 3) [F2013L00012]</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Radiocommunications (Transmitter Licence Tax) Act 1983</w:t>
      </w:r>
    </w:p>
    <w:p w:rsidR="00EC5913" w:rsidRPr="00461AEB" w:rsidRDefault="00EC5913" w:rsidP="00EC5913">
      <w:pPr>
        <w:spacing w:after="0"/>
        <w:ind w:right="-46"/>
        <w:jc w:val="left"/>
        <w:rPr>
          <w:sz w:val="22"/>
          <w:szCs w:val="22"/>
        </w:rPr>
      </w:pPr>
      <w:r w:rsidRPr="00461AEB">
        <w:rPr>
          <w:sz w:val="22"/>
          <w:szCs w:val="22"/>
        </w:rPr>
        <w:t>Radiocommunications (Transmitter Licence Tax) Amendment Determination 2012 (No. 5) [F2013L00013]</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Radiocommunications Act 1992</w:t>
      </w:r>
    </w:p>
    <w:p w:rsidR="00EC5913" w:rsidRPr="00461AEB" w:rsidRDefault="00EC5913" w:rsidP="00EC5913">
      <w:pPr>
        <w:spacing w:after="60"/>
        <w:ind w:right="-45"/>
        <w:jc w:val="left"/>
        <w:rPr>
          <w:color w:val="000000"/>
          <w:sz w:val="22"/>
          <w:szCs w:val="22"/>
        </w:rPr>
      </w:pPr>
      <w:r w:rsidRPr="00461AEB">
        <w:rPr>
          <w:color w:val="000000"/>
          <w:sz w:val="22"/>
          <w:szCs w:val="22"/>
        </w:rPr>
        <w:t>Australian Radiofrequency Spectrum Plan 2013 [F2012L02523]</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Advisory Guidelines (Managing Interference from Transmitters – 2.5 GHz Band) 2012 [F2012L02550]</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Advisory Guidelines (Managing Interference from Transmitters – 2.5 GHz Mid-band Gap) 2012 [F2012L02555]</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Advisory Guidelines (Managing Interference from Transmitters – 700 MHz Band) 2012 [F2012L02546]</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Advisory Guidelines (Managing Interference to Receivers – 2.5 GHz Band) 2012 [F2012L02549]</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Advisory Guidelines (Managing Interference to Receivers – 2.5 GHz Mid-band Gap) 2012 [F2012L02558]</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Advisory Guidelines (Managing Interference to Receivers – 700 MHz Band) 2012 [F2012L02544]</w:t>
      </w:r>
    </w:p>
    <w:p w:rsidR="00EC5913" w:rsidRPr="00461AEB" w:rsidRDefault="00EC5913" w:rsidP="00EC5913">
      <w:pPr>
        <w:spacing w:after="60"/>
        <w:ind w:right="-45"/>
        <w:jc w:val="left"/>
        <w:rPr>
          <w:color w:val="000000"/>
          <w:sz w:val="22"/>
          <w:szCs w:val="22"/>
        </w:rPr>
      </w:pPr>
      <w:r w:rsidRPr="00461AEB">
        <w:rPr>
          <w:color w:val="000000"/>
          <w:sz w:val="22"/>
          <w:szCs w:val="22"/>
        </w:rPr>
        <w:lastRenderedPageBreak/>
        <w:t>Radiocommunications (Field Trial by Corrective Services NSW of PMTS Jamming Devices at Lithgow Correctional Centre) Exemption Determination 2012 [F2012L02561]</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Licence Conditions (Amateur Licence) Am</w:t>
      </w:r>
      <w:r>
        <w:rPr>
          <w:color w:val="000000"/>
          <w:sz w:val="22"/>
          <w:szCs w:val="22"/>
        </w:rPr>
        <w:t>endment Determination 2012 (No. </w:t>
      </w:r>
      <w:r w:rsidRPr="00461AEB">
        <w:rPr>
          <w:color w:val="000000"/>
          <w:sz w:val="22"/>
          <w:szCs w:val="22"/>
        </w:rPr>
        <w:t>1) [F2012L02574]</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(Overseas Amateurs Visiting Australia) Class Licence Variation 2012 (No. 1) [F2012L02573]</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(Spectrum Access Charges – 1800 MHz Band) Determination 2012 (No. 1) [F2013L00010]</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(Spectrum Access Charges – 1800 MHz Band) Determination 2012 (No. 2) [F2013L00011]</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Spectrum Conversion Plan (2.5 GHz Mid-band Gap) 2012 [F2012L02542]</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(Spectrum Licence Allocation—Combinatorial Clock Auction) Determination 2012 [F2012L02548]</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Spectrum Marketing Plan (2.5 GHz Band) 2012 [F2012L02552]</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Spectrum Marketing Plan (700 MHz Band) 2012 [F2012L02547]</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(Unacceptable Levels of Interference – 2.5 GHz Band) Determination 2012 [F2012L02545]</w:t>
      </w:r>
    </w:p>
    <w:p w:rsidR="00EC5913" w:rsidRPr="00461AEB" w:rsidRDefault="00EC5913" w:rsidP="00EC5913">
      <w:pPr>
        <w:spacing w:after="60"/>
        <w:ind w:right="-45"/>
        <w:jc w:val="left"/>
        <w:rPr>
          <w:color w:val="000000"/>
          <w:sz w:val="22"/>
          <w:szCs w:val="22"/>
        </w:rPr>
      </w:pPr>
      <w:r w:rsidRPr="00461AEB">
        <w:rPr>
          <w:color w:val="000000"/>
          <w:sz w:val="22"/>
          <w:szCs w:val="22"/>
        </w:rPr>
        <w:t>Radiocommunications (Unacceptable Levels of Interference – 2.5 GHz Mid-band Gap) Determination 2012 [F2012L02553]</w:t>
      </w:r>
    </w:p>
    <w:p w:rsidR="00EC5913" w:rsidRPr="00461AEB" w:rsidRDefault="00EC5913" w:rsidP="00EC5913">
      <w:pPr>
        <w:spacing w:after="0"/>
        <w:ind w:right="-46"/>
        <w:jc w:val="left"/>
        <w:rPr>
          <w:color w:val="000000"/>
          <w:sz w:val="22"/>
          <w:szCs w:val="22"/>
        </w:rPr>
      </w:pPr>
      <w:r w:rsidRPr="00461AEB">
        <w:rPr>
          <w:color w:val="000000"/>
          <w:sz w:val="22"/>
          <w:szCs w:val="22"/>
        </w:rPr>
        <w:t>Radiocommunications (Unacceptable Levels of Interference - 700 MHz Band) Determination 2012 [F2012L02543]</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color w:val="000000"/>
          <w:sz w:val="24"/>
          <w:szCs w:val="24"/>
        </w:rPr>
      </w:pPr>
      <w:r w:rsidRPr="00461AEB">
        <w:rPr>
          <w:b/>
          <w:i/>
          <w:color w:val="000000"/>
          <w:sz w:val="24"/>
          <w:szCs w:val="24"/>
        </w:rPr>
        <w:t>Remuneration Tribunal Act 1973</w:t>
      </w:r>
    </w:p>
    <w:p w:rsidR="00EC5913" w:rsidRPr="00461AEB" w:rsidRDefault="00EC5913" w:rsidP="00EC5913">
      <w:pPr>
        <w:spacing w:after="60"/>
        <w:ind w:right="-45"/>
        <w:jc w:val="left"/>
        <w:rPr>
          <w:color w:val="000000"/>
          <w:sz w:val="22"/>
          <w:szCs w:val="22"/>
        </w:rPr>
      </w:pPr>
      <w:r w:rsidRPr="00461AEB">
        <w:rPr>
          <w:color w:val="000000"/>
          <w:sz w:val="22"/>
          <w:szCs w:val="22"/>
        </w:rPr>
        <w:t>Remuneration Tribunal Determination 2012/24 – Remuneration and Allowances for Holders of Full-Time Public Office [F2012L02570]</w:t>
      </w:r>
    </w:p>
    <w:p w:rsidR="00EC5913" w:rsidRPr="00461AEB" w:rsidRDefault="00EC5913" w:rsidP="00EC5913">
      <w:pPr>
        <w:spacing w:after="0"/>
        <w:ind w:right="-46"/>
        <w:jc w:val="left"/>
        <w:rPr>
          <w:color w:val="000000"/>
          <w:sz w:val="22"/>
          <w:szCs w:val="22"/>
        </w:rPr>
      </w:pPr>
      <w:r w:rsidRPr="00461AEB">
        <w:rPr>
          <w:color w:val="000000"/>
          <w:sz w:val="22"/>
          <w:szCs w:val="22"/>
        </w:rPr>
        <w:t>Remuneration Tribunal Determination 2012/25 – Remuneration and Allowances for Holders of Public Office [F2013L00006]</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color w:val="000000"/>
          <w:sz w:val="24"/>
          <w:szCs w:val="24"/>
        </w:rPr>
      </w:pPr>
      <w:r w:rsidRPr="00461AEB">
        <w:rPr>
          <w:b/>
          <w:i/>
          <w:color w:val="000000"/>
          <w:sz w:val="24"/>
          <w:szCs w:val="24"/>
        </w:rPr>
        <w:t>Social Security Act 1991</w:t>
      </w:r>
    </w:p>
    <w:p w:rsidR="00EC5913" w:rsidRPr="00461AEB" w:rsidRDefault="00EC5913" w:rsidP="00EC5913">
      <w:pPr>
        <w:spacing w:after="60"/>
        <w:ind w:right="-45"/>
        <w:jc w:val="left"/>
        <w:rPr>
          <w:color w:val="000000"/>
          <w:sz w:val="22"/>
          <w:szCs w:val="22"/>
        </w:rPr>
      </w:pPr>
      <w:r w:rsidRPr="00461AEB">
        <w:rPr>
          <w:color w:val="000000"/>
          <w:sz w:val="22"/>
          <w:szCs w:val="22"/>
        </w:rPr>
        <w:t>Social Security (Actuarial Certificate−Lifetime Income Stream Guidelines) Determination 2012 [F2012L02565]</w:t>
      </w:r>
    </w:p>
    <w:p w:rsidR="00EC5913" w:rsidRPr="00461AEB" w:rsidRDefault="00EC5913" w:rsidP="00EC5913">
      <w:pPr>
        <w:spacing w:after="60"/>
        <w:ind w:right="-45"/>
        <w:jc w:val="left"/>
        <w:rPr>
          <w:color w:val="000000"/>
          <w:sz w:val="22"/>
          <w:szCs w:val="22"/>
        </w:rPr>
      </w:pPr>
      <w:r w:rsidRPr="00461AEB">
        <w:rPr>
          <w:color w:val="000000"/>
          <w:sz w:val="22"/>
          <w:szCs w:val="22"/>
        </w:rPr>
        <w:t>Social Security (Actuarial Certificate−Life Expectancy Income Stream Guidelines) Determination 2012 [F2012L02567]</w:t>
      </w:r>
    </w:p>
    <w:p w:rsidR="00EC5913" w:rsidRPr="00461AEB" w:rsidRDefault="00EC5913" w:rsidP="00EC5913">
      <w:pPr>
        <w:spacing w:after="0"/>
        <w:ind w:right="-46"/>
        <w:jc w:val="left"/>
        <w:rPr>
          <w:color w:val="000000"/>
          <w:sz w:val="22"/>
          <w:szCs w:val="22"/>
        </w:rPr>
      </w:pPr>
      <w:r w:rsidRPr="00461AEB">
        <w:rPr>
          <w:color w:val="000000"/>
          <w:sz w:val="22"/>
          <w:szCs w:val="22"/>
        </w:rPr>
        <w:t>Social Security (South Australian 'Individualised Funding') (DEEWR) Determination 2012 (No. 1) [F2013L00030]</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color w:val="000000"/>
          <w:sz w:val="24"/>
          <w:szCs w:val="24"/>
        </w:rPr>
      </w:pPr>
      <w:r w:rsidRPr="00461AEB">
        <w:rPr>
          <w:b/>
          <w:i/>
          <w:color w:val="000000"/>
          <w:sz w:val="24"/>
          <w:szCs w:val="24"/>
        </w:rPr>
        <w:t>Social Security (Administration) Act 1999</w:t>
      </w:r>
    </w:p>
    <w:p w:rsidR="00EC5913" w:rsidRPr="00461AEB" w:rsidRDefault="00EC5913" w:rsidP="00EC5913">
      <w:pPr>
        <w:spacing w:after="0"/>
        <w:ind w:right="-46"/>
        <w:jc w:val="left"/>
        <w:rPr>
          <w:color w:val="000000"/>
          <w:sz w:val="22"/>
          <w:szCs w:val="22"/>
        </w:rPr>
      </w:pPr>
      <w:r w:rsidRPr="00461AEB">
        <w:rPr>
          <w:color w:val="000000"/>
          <w:sz w:val="22"/>
          <w:szCs w:val="22"/>
        </w:rPr>
        <w:t>Social Security (Administration) – Queensland Commission (Family Responsibilities Commission) Specification 2012 [F2012L02581]</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color w:val="000000"/>
          <w:sz w:val="24"/>
          <w:szCs w:val="24"/>
        </w:rPr>
      </w:pPr>
      <w:r w:rsidRPr="00461AEB">
        <w:rPr>
          <w:b/>
          <w:i/>
          <w:color w:val="000000"/>
          <w:sz w:val="24"/>
          <w:szCs w:val="24"/>
        </w:rPr>
        <w:t>Student Assistance Act 1973</w:t>
      </w:r>
    </w:p>
    <w:p w:rsidR="00EC5913" w:rsidRDefault="00EC5913" w:rsidP="00EC5913">
      <w:pPr>
        <w:spacing w:after="0"/>
        <w:ind w:right="-46"/>
        <w:jc w:val="left"/>
        <w:rPr>
          <w:color w:val="000000"/>
          <w:sz w:val="22"/>
          <w:szCs w:val="22"/>
        </w:rPr>
      </w:pPr>
      <w:r w:rsidRPr="00461AEB">
        <w:rPr>
          <w:color w:val="000000"/>
          <w:sz w:val="22"/>
          <w:szCs w:val="22"/>
        </w:rPr>
        <w:t>Student Assistance (Education Institutions and Courses) Amendment Determination 2012 (No. 1) [F2012L02588]</w:t>
      </w:r>
    </w:p>
    <w:p w:rsidR="00EC5913" w:rsidRPr="00461AEB" w:rsidRDefault="00EC5913" w:rsidP="00EC5913">
      <w:pPr>
        <w:spacing w:after="0"/>
        <w:ind w:right="-46"/>
        <w:jc w:val="left"/>
        <w:rPr>
          <w:color w:val="000000"/>
          <w:sz w:val="22"/>
          <w:szCs w:val="22"/>
        </w:rPr>
      </w:pPr>
    </w:p>
    <w:p w:rsidR="00EC5913" w:rsidRPr="00461AEB" w:rsidRDefault="00EC5913" w:rsidP="00EC5913">
      <w:pPr>
        <w:spacing w:after="120"/>
        <w:ind w:right="-45"/>
        <w:rPr>
          <w:color w:val="000000"/>
          <w:sz w:val="24"/>
          <w:szCs w:val="24"/>
        </w:rPr>
      </w:pPr>
      <w:r w:rsidRPr="00461AEB">
        <w:rPr>
          <w:b/>
          <w:i/>
          <w:color w:val="000000"/>
          <w:sz w:val="24"/>
          <w:szCs w:val="24"/>
        </w:rPr>
        <w:t>Superannuation Act 2005</w:t>
      </w:r>
    </w:p>
    <w:p w:rsidR="00EC5913" w:rsidRPr="00461AEB" w:rsidRDefault="00EC5913" w:rsidP="00EC5913">
      <w:pPr>
        <w:spacing w:after="0"/>
        <w:ind w:right="-46"/>
        <w:jc w:val="left"/>
        <w:rPr>
          <w:color w:val="000000"/>
          <w:sz w:val="22"/>
          <w:szCs w:val="22"/>
        </w:rPr>
      </w:pPr>
      <w:r w:rsidRPr="00461AEB">
        <w:rPr>
          <w:color w:val="000000"/>
          <w:sz w:val="22"/>
          <w:szCs w:val="22"/>
        </w:rPr>
        <w:t>Superannuation Act 2005 – Seventh Amendment of the Deed to Establish the Public Sector Superannuation Accumulation Plan [F2013L00027]</w:t>
      </w:r>
    </w:p>
    <w:p w:rsidR="00EC5913" w:rsidRPr="00461AEB" w:rsidRDefault="00EC5913" w:rsidP="00EC5913">
      <w:pPr>
        <w:spacing w:after="0"/>
        <w:ind w:right="-46"/>
        <w:rPr>
          <w:color w:val="000000"/>
          <w:sz w:val="22"/>
          <w:szCs w:val="22"/>
        </w:rPr>
      </w:pPr>
    </w:p>
    <w:p w:rsidR="00EC5913" w:rsidRPr="00461AEB" w:rsidRDefault="00EC5913" w:rsidP="00EC5913">
      <w:pPr>
        <w:spacing w:after="120"/>
        <w:ind w:right="-45"/>
        <w:rPr>
          <w:sz w:val="24"/>
          <w:szCs w:val="24"/>
        </w:rPr>
      </w:pPr>
      <w:r w:rsidRPr="00461AEB">
        <w:rPr>
          <w:b/>
          <w:i/>
          <w:sz w:val="24"/>
          <w:szCs w:val="24"/>
        </w:rPr>
        <w:lastRenderedPageBreak/>
        <w:t>Superannuation Industry (Supervision) Act 1993</w:t>
      </w:r>
    </w:p>
    <w:p w:rsidR="00EC5913" w:rsidRPr="00461AEB" w:rsidRDefault="00EC5913" w:rsidP="00EC5913">
      <w:pPr>
        <w:spacing w:after="60"/>
        <w:ind w:right="-45"/>
        <w:jc w:val="left"/>
        <w:rPr>
          <w:color w:val="000000"/>
          <w:sz w:val="22"/>
          <w:szCs w:val="22"/>
        </w:rPr>
      </w:pPr>
      <w:r w:rsidRPr="00461AEB">
        <w:rPr>
          <w:color w:val="000000"/>
          <w:sz w:val="22"/>
          <w:szCs w:val="22"/>
        </w:rPr>
        <w:t>ASIC Class Order [CO 12/1687] [F2012L02497]</w:t>
      </w:r>
    </w:p>
    <w:p w:rsidR="00EC5913" w:rsidRPr="00461AEB" w:rsidRDefault="00EC5913" w:rsidP="00EC5913">
      <w:pPr>
        <w:spacing w:after="0"/>
        <w:ind w:right="-46"/>
        <w:jc w:val="left"/>
        <w:rPr>
          <w:color w:val="000000"/>
          <w:sz w:val="22"/>
          <w:szCs w:val="22"/>
        </w:rPr>
      </w:pPr>
      <w:r w:rsidRPr="00461AEB">
        <w:rPr>
          <w:color w:val="000000"/>
          <w:sz w:val="22"/>
          <w:szCs w:val="22"/>
        </w:rPr>
        <w:t>Superannuation (prudential standard) determination No. 9 of 2012 - Prudential Standard SPS 410 - MySuper Transition [F2012L02509]</w:t>
      </w:r>
    </w:p>
    <w:p w:rsidR="00EC5913" w:rsidRPr="00461AEB" w:rsidRDefault="00EC5913" w:rsidP="00EC5913">
      <w:pPr>
        <w:spacing w:after="0"/>
        <w:ind w:right="-46"/>
        <w:rPr>
          <w:sz w:val="22"/>
          <w:szCs w:val="22"/>
        </w:rPr>
      </w:pPr>
    </w:p>
    <w:p w:rsidR="00EC5913" w:rsidRPr="00461AEB" w:rsidRDefault="00EC5913" w:rsidP="00EC5913">
      <w:pPr>
        <w:spacing w:after="120"/>
        <w:ind w:right="-45"/>
        <w:rPr>
          <w:sz w:val="24"/>
          <w:szCs w:val="24"/>
        </w:rPr>
      </w:pPr>
      <w:r w:rsidRPr="00461AEB">
        <w:rPr>
          <w:b/>
          <w:i/>
          <w:sz w:val="24"/>
          <w:szCs w:val="24"/>
        </w:rPr>
        <w:t>Superannuation (Productivity Benefit) Act 1988</w:t>
      </w:r>
    </w:p>
    <w:p w:rsidR="00EC5913" w:rsidRPr="00461AEB" w:rsidRDefault="00EC5913" w:rsidP="00EC5913">
      <w:pPr>
        <w:spacing w:after="60"/>
        <w:ind w:right="-45"/>
        <w:jc w:val="left"/>
        <w:rPr>
          <w:color w:val="000000"/>
          <w:sz w:val="22"/>
          <w:szCs w:val="22"/>
        </w:rPr>
      </w:pPr>
      <w:r w:rsidRPr="00461AEB">
        <w:rPr>
          <w:color w:val="000000"/>
          <w:sz w:val="22"/>
          <w:szCs w:val="22"/>
        </w:rPr>
        <w:t>Superannuation (Productivity Benefit) (Nominated Fund) Declaration 2012 [F2012L02559]</w:t>
      </w:r>
    </w:p>
    <w:p w:rsidR="00EC5913" w:rsidRPr="00461AEB" w:rsidRDefault="00EC5913" w:rsidP="00EC5913">
      <w:pPr>
        <w:spacing w:after="0"/>
        <w:ind w:right="-46"/>
        <w:jc w:val="left"/>
        <w:rPr>
          <w:color w:val="000000"/>
          <w:sz w:val="22"/>
          <w:szCs w:val="22"/>
        </w:rPr>
      </w:pPr>
      <w:r w:rsidRPr="00461AEB">
        <w:rPr>
          <w:color w:val="000000"/>
          <w:sz w:val="22"/>
          <w:szCs w:val="22"/>
        </w:rPr>
        <w:t>Superannuation (Qualified Employees Exclusion) Declaration 2012 [F2013L00026]</w:t>
      </w:r>
    </w:p>
    <w:p w:rsidR="00EC5913" w:rsidRPr="00461AEB" w:rsidRDefault="00EC5913" w:rsidP="00EC5913">
      <w:pPr>
        <w:spacing w:after="0"/>
        <w:ind w:right="-46"/>
        <w:rPr>
          <w:sz w:val="22"/>
          <w:szCs w:val="22"/>
        </w:rPr>
      </w:pPr>
    </w:p>
    <w:p w:rsidR="00EC5913" w:rsidRPr="009531B6" w:rsidRDefault="00EC5913" w:rsidP="00EC5913">
      <w:pPr>
        <w:spacing w:after="120"/>
        <w:ind w:right="-45"/>
        <w:rPr>
          <w:sz w:val="24"/>
          <w:szCs w:val="24"/>
        </w:rPr>
      </w:pPr>
      <w:r w:rsidRPr="009531B6">
        <w:rPr>
          <w:b/>
          <w:i/>
          <w:sz w:val="24"/>
          <w:szCs w:val="24"/>
        </w:rPr>
        <w:t>Telecommunications (Interception and Access) Act 1979</w:t>
      </w:r>
    </w:p>
    <w:p w:rsidR="00EC5913" w:rsidRPr="009531B6" w:rsidRDefault="00EC5913" w:rsidP="00EC5913">
      <w:pPr>
        <w:spacing w:after="60"/>
        <w:ind w:right="-45"/>
        <w:jc w:val="left"/>
        <w:rPr>
          <w:color w:val="000000"/>
          <w:sz w:val="22"/>
          <w:szCs w:val="22"/>
        </w:rPr>
      </w:pPr>
      <w:r w:rsidRPr="009531B6">
        <w:rPr>
          <w:color w:val="000000"/>
          <w:sz w:val="22"/>
          <w:szCs w:val="22"/>
        </w:rPr>
        <w:t>Telecommunications (Interception and Access) (Emergency Services Facilities – Australian Capital Territory) Instrument 2012 (No. 2) [F2012L02591]</w:t>
      </w:r>
    </w:p>
    <w:p w:rsidR="00EC5913" w:rsidRPr="009531B6" w:rsidRDefault="00EC5913" w:rsidP="00EC5913">
      <w:pPr>
        <w:spacing w:after="0"/>
        <w:ind w:right="-46"/>
        <w:jc w:val="left"/>
        <w:rPr>
          <w:color w:val="000000"/>
          <w:sz w:val="22"/>
          <w:szCs w:val="22"/>
        </w:rPr>
      </w:pPr>
      <w:r w:rsidRPr="009531B6">
        <w:rPr>
          <w:color w:val="000000"/>
          <w:sz w:val="22"/>
          <w:szCs w:val="22"/>
        </w:rPr>
        <w:t>Telecommunications (Interception and Access-Independent Broad-based Anti-corruption Commission of Victoria) Declaration 2012 [F2012L02551]</w:t>
      </w:r>
    </w:p>
    <w:p w:rsidR="00EC5913" w:rsidRPr="009531B6" w:rsidRDefault="00EC5913" w:rsidP="00EC5913">
      <w:pPr>
        <w:spacing w:after="0"/>
        <w:ind w:right="-46"/>
        <w:rPr>
          <w:sz w:val="22"/>
          <w:szCs w:val="22"/>
        </w:rPr>
      </w:pPr>
    </w:p>
    <w:p w:rsidR="00EC5913" w:rsidRPr="009531B6" w:rsidRDefault="00EC5913" w:rsidP="00EC5913">
      <w:pPr>
        <w:spacing w:after="120"/>
        <w:ind w:right="-45"/>
        <w:rPr>
          <w:sz w:val="24"/>
          <w:szCs w:val="24"/>
        </w:rPr>
      </w:pPr>
      <w:r w:rsidRPr="009531B6">
        <w:rPr>
          <w:b/>
          <w:i/>
          <w:sz w:val="24"/>
          <w:szCs w:val="24"/>
        </w:rPr>
        <w:t>Telecommunications Act 1997</w:t>
      </w:r>
    </w:p>
    <w:p w:rsidR="00EC5913" w:rsidRPr="009531B6" w:rsidRDefault="00EC5913" w:rsidP="00EC5913">
      <w:pPr>
        <w:spacing w:after="0"/>
        <w:ind w:right="-46"/>
        <w:jc w:val="left"/>
        <w:rPr>
          <w:color w:val="000000"/>
          <w:sz w:val="22"/>
          <w:szCs w:val="22"/>
        </w:rPr>
      </w:pPr>
      <w:r w:rsidRPr="009531B6">
        <w:rPr>
          <w:color w:val="000000"/>
          <w:sz w:val="22"/>
          <w:szCs w:val="22"/>
        </w:rPr>
        <w:t>Telecommunications Technical Standard (Requirements for Customer Equipment for connection to a metallic local loop interface of a Telecommunications Network - Part 2: Broadband - AS/ACIF S043.2:2008) Amendment 2012 (No. 1) [F2012L02533]</w:t>
      </w:r>
    </w:p>
    <w:p w:rsidR="00EC5913" w:rsidRPr="009531B6" w:rsidRDefault="00EC5913" w:rsidP="00EC5913">
      <w:pPr>
        <w:spacing w:after="0"/>
        <w:ind w:right="-46"/>
        <w:rPr>
          <w:color w:val="000000"/>
          <w:sz w:val="22"/>
          <w:szCs w:val="22"/>
        </w:rPr>
      </w:pPr>
    </w:p>
    <w:p w:rsidR="00EC5913" w:rsidRPr="009531B6" w:rsidRDefault="00EC5913" w:rsidP="00EC5913">
      <w:pPr>
        <w:spacing w:after="120"/>
        <w:ind w:right="-45"/>
        <w:rPr>
          <w:sz w:val="24"/>
          <w:szCs w:val="24"/>
        </w:rPr>
      </w:pPr>
      <w:r w:rsidRPr="009531B6">
        <w:rPr>
          <w:b/>
          <w:i/>
          <w:sz w:val="24"/>
          <w:szCs w:val="24"/>
        </w:rPr>
        <w:t>Therapeutic Goods Act 1989</w:t>
      </w:r>
    </w:p>
    <w:p w:rsidR="00EC5913" w:rsidRPr="009531B6" w:rsidRDefault="00EC5913" w:rsidP="00EC5913">
      <w:pPr>
        <w:spacing w:after="60"/>
        <w:ind w:right="-45"/>
        <w:jc w:val="left"/>
        <w:rPr>
          <w:sz w:val="22"/>
          <w:szCs w:val="22"/>
        </w:rPr>
      </w:pPr>
      <w:r w:rsidRPr="009531B6">
        <w:rPr>
          <w:sz w:val="22"/>
          <w:szCs w:val="22"/>
        </w:rPr>
        <w:t>Therapeutic Goods (Listing) Notice 2012 (No. 4) [F2013L00014]</w:t>
      </w:r>
    </w:p>
    <w:p w:rsidR="00EC5913" w:rsidRPr="009531B6" w:rsidRDefault="00EC5913" w:rsidP="00EC5913">
      <w:pPr>
        <w:spacing w:after="0"/>
        <w:ind w:right="-46"/>
        <w:jc w:val="left"/>
        <w:rPr>
          <w:sz w:val="22"/>
          <w:szCs w:val="22"/>
        </w:rPr>
      </w:pPr>
      <w:r w:rsidRPr="009531B6">
        <w:rPr>
          <w:sz w:val="22"/>
          <w:szCs w:val="22"/>
        </w:rPr>
        <w:t>Therapeutic Goods (Listing) Notice 2012 (No. 5) [F2013L00015]</w:t>
      </w:r>
    </w:p>
    <w:p w:rsidR="00EC5913" w:rsidRPr="009531B6" w:rsidRDefault="00EC5913" w:rsidP="00EC5913">
      <w:pPr>
        <w:spacing w:after="0"/>
        <w:ind w:right="-46"/>
        <w:rPr>
          <w:sz w:val="22"/>
          <w:szCs w:val="22"/>
        </w:rPr>
      </w:pPr>
    </w:p>
    <w:p w:rsidR="00EC5913" w:rsidRPr="009531B6" w:rsidRDefault="00EC5913" w:rsidP="00EC5913">
      <w:pPr>
        <w:spacing w:after="120"/>
        <w:ind w:right="-45"/>
        <w:rPr>
          <w:sz w:val="24"/>
          <w:szCs w:val="24"/>
        </w:rPr>
      </w:pPr>
      <w:r w:rsidRPr="009531B6">
        <w:rPr>
          <w:b/>
          <w:i/>
          <w:sz w:val="24"/>
          <w:szCs w:val="24"/>
        </w:rPr>
        <w:t>Veterans' Entitlements Act 1986</w:t>
      </w:r>
    </w:p>
    <w:p w:rsidR="00EC5913" w:rsidRPr="009531B6" w:rsidRDefault="00EC5913" w:rsidP="00EC5913">
      <w:pPr>
        <w:spacing w:after="60"/>
        <w:ind w:right="-45"/>
        <w:jc w:val="left"/>
        <w:rPr>
          <w:sz w:val="22"/>
          <w:szCs w:val="22"/>
        </w:rPr>
      </w:pPr>
      <w:r w:rsidRPr="009531B6">
        <w:rPr>
          <w:sz w:val="22"/>
          <w:szCs w:val="22"/>
        </w:rPr>
        <w:t>Statement of Principles concerning adenocarcinoma of the kidney No. 9 of 2013 [F2013L00024]</w:t>
      </w:r>
    </w:p>
    <w:p w:rsidR="00EC5913" w:rsidRPr="009531B6" w:rsidRDefault="00EC5913" w:rsidP="00EC5913">
      <w:pPr>
        <w:spacing w:after="60"/>
        <w:ind w:right="-45"/>
        <w:jc w:val="left"/>
        <w:rPr>
          <w:sz w:val="22"/>
          <w:szCs w:val="22"/>
        </w:rPr>
      </w:pPr>
      <w:r w:rsidRPr="009531B6">
        <w:rPr>
          <w:sz w:val="22"/>
          <w:szCs w:val="22"/>
        </w:rPr>
        <w:t>Statement of Principles concerning adenocarcinoma of the kidney No. 10 of 2013 [F2013L00025]</w:t>
      </w:r>
    </w:p>
    <w:p w:rsidR="00EC5913" w:rsidRPr="009531B6" w:rsidRDefault="00EC5913" w:rsidP="00EC5913">
      <w:pPr>
        <w:spacing w:after="60"/>
        <w:ind w:right="-45"/>
        <w:jc w:val="left"/>
        <w:rPr>
          <w:sz w:val="22"/>
          <w:szCs w:val="22"/>
        </w:rPr>
      </w:pPr>
      <w:r w:rsidRPr="009531B6">
        <w:rPr>
          <w:sz w:val="22"/>
          <w:szCs w:val="22"/>
        </w:rPr>
        <w:t>Statement of Principles concerning ankylosing spondylitis No. 3 of 2013 [F2013L00018]</w:t>
      </w:r>
    </w:p>
    <w:p w:rsidR="00EC5913" w:rsidRPr="009531B6" w:rsidRDefault="00EC5913" w:rsidP="00EC5913">
      <w:pPr>
        <w:spacing w:after="60"/>
        <w:ind w:right="-45"/>
        <w:jc w:val="left"/>
        <w:rPr>
          <w:sz w:val="22"/>
          <w:szCs w:val="22"/>
        </w:rPr>
      </w:pPr>
      <w:r w:rsidRPr="009531B6">
        <w:rPr>
          <w:sz w:val="22"/>
          <w:szCs w:val="22"/>
        </w:rPr>
        <w:t>Statement of Principles concerning ankylosing spondylitis No. 4 of 2013 [F2013L00019]</w:t>
      </w:r>
    </w:p>
    <w:p w:rsidR="00EC5913" w:rsidRPr="009531B6" w:rsidRDefault="00EC5913" w:rsidP="00EC5913">
      <w:pPr>
        <w:spacing w:after="60"/>
        <w:ind w:right="-45"/>
        <w:jc w:val="left"/>
        <w:rPr>
          <w:sz w:val="22"/>
          <w:szCs w:val="22"/>
        </w:rPr>
      </w:pPr>
      <w:r w:rsidRPr="009531B6">
        <w:rPr>
          <w:sz w:val="22"/>
          <w:szCs w:val="22"/>
        </w:rPr>
        <w:t>Statement of Principles concerning carpal tunnel syndrome No. 7 of 2013 [F2013L00022]</w:t>
      </w:r>
    </w:p>
    <w:p w:rsidR="00EC5913" w:rsidRPr="009531B6" w:rsidRDefault="00EC5913" w:rsidP="00EC5913">
      <w:pPr>
        <w:spacing w:after="60"/>
        <w:ind w:right="-45"/>
        <w:jc w:val="left"/>
        <w:rPr>
          <w:sz w:val="22"/>
          <w:szCs w:val="22"/>
        </w:rPr>
      </w:pPr>
      <w:r w:rsidRPr="009531B6">
        <w:rPr>
          <w:sz w:val="22"/>
          <w:szCs w:val="22"/>
        </w:rPr>
        <w:t>Statement of Principles concerning carpal tunnel syndrome No. 8 of 2013 [F2013L00023]</w:t>
      </w:r>
    </w:p>
    <w:p w:rsidR="00EC5913" w:rsidRPr="009531B6" w:rsidRDefault="00EC5913" w:rsidP="00EC5913">
      <w:pPr>
        <w:spacing w:after="60"/>
        <w:ind w:right="-45"/>
        <w:jc w:val="left"/>
        <w:rPr>
          <w:sz w:val="22"/>
          <w:szCs w:val="22"/>
        </w:rPr>
      </w:pPr>
      <w:r w:rsidRPr="009531B6">
        <w:rPr>
          <w:sz w:val="22"/>
          <w:szCs w:val="22"/>
        </w:rPr>
        <w:t>Statement of Principles concerning inguinal hernia No. 5 of 2013 [F2013L00020]</w:t>
      </w:r>
    </w:p>
    <w:p w:rsidR="00EC5913" w:rsidRPr="009531B6" w:rsidRDefault="00EC5913" w:rsidP="00EC5913">
      <w:pPr>
        <w:spacing w:after="60"/>
        <w:ind w:right="-45"/>
        <w:jc w:val="left"/>
        <w:rPr>
          <w:sz w:val="22"/>
          <w:szCs w:val="22"/>
        </w:rPr>
      </w:pPr>
      <w:r w:rsidRPr="009531B6">
        <w:rPr>
          <w:sz w:val="22"/>
          <w:szCs w:val="22"/>
        </w:rPr>
        <w:t>Statement of Principles concerning inguinal hernia No. 6 of 2013 [F2013L00021]</w:t>
      </w:r>
    </w:p>
    <w:p w:rsidR="00EC5913" w:rsidRPr="009531B6" w:rsidRDefault="00EC5913" w:rsidP="00EC5913">
      <w:pPr>
        <w:spacing w:after="60"/>
        <w:ind w:right="-45"/>
        <w:jc w:val="left"/>
        <w:rPr>
          <w:sz w:val="22"/>
          <w:szCs w:val="22"/>
        </w:rPr>
      </w:pPr>
      <w:r w:rsidRPr="009531B6">
        <w:rPr>
          <w:sz w:val="22"/>
          <w:szCs w:val="22"/>
        </w:rPr>
        <w:t>Statement of Principles concerning malignant neoplasm of the oral cavity, oropharynx and hypopharynx No. 1 of 2013 [F2013L00016]</w:t>
      </w:r>
    </w:p>
    <w:p w:rsidR="00EC5913" w:rsidRPr="009531B6" w:rsidRDefault="00EC5913" w:rsidP="00EC5913">
      <w:pPr>
        <w:spacing w:after="0"/>
        <w:ind w:right="-46"/>
        <w:jc w:val="left"/>
        <w:rPr>
          <w:sz w:val="22"/>
          <w:szCs w:val="22"/>
        </w:rPr>
      </w:pPr>
      <w:r w:rsidRPr="009531B6">
        <w:rPr>
          <w:sz w:val="22"/>
          <w:szCs w:val="22"/>
        </w:rPr>
        <w:t>Statement of Principles concerning malignant neoplasm of the oral cavity, oropharynx and hypopharynx No. 2 of 2013 [F2013L00017]</w:t>
      </w:r>
    </w:p>
    <w:p w:rsidR="00EC5913" w:rsidRPr="009531B6" w:rsidRDefault="00EC5913" w:rsidP="00EC5913">
      <w:pPr>
        <w:spacing w:after="0"/>
        <w:ind w:right="-46"/>
        <w:rPr>
          <w:sz w:val="22"/>
          <w:szCs w:val="22"/>
        </w:rPr>
      </w:pPr>
    </w:p>
    <w:p w:rsidR="00EC5913" w:rsidRPr="009531B6" w:rsidRDefault="00EC5913" w:rsidP="00EC5913">
      <w:pPr>
        <w:spacing w:after="120"/>
        <w:ind w:right="-45"/>
        <w:rPr>
          <w:b/>
          <w:i/>
          <w:sz w:val="24"/>
          <w:szCs w:val="24"/>
        </w:rPr>
      </w:pPr>
      <w:r w:rsidRPr="009531B6">
        <w:rPr>
          <w:b/>
          <w:i/>
          <w:sz w:val="24"/>
          <w:szCs w:val="24"/>
        </w:rPr>
        <w:t>Work Health and Safety Act 2011</w:t>
      </w:r>
    </w:p>
    <w:p w:rsidR="00EC5913" w:rsidRPr="009531B6" w:rsidRDefault="00EC5913" w:rsidP="00EC5913">
      <w:pPr>
        <w:spacing w:after="0"/>
        <w:ind w:right="-46"/>
        <w:jc w:val="left"/>
        <w:rPr>
          <w:color w:val="000000"/>
          <w:sz w:val="22"/>
          <w:szCs w:val="22"/>
        </w:rPr>
      </w:pPr>
      <w:r w:rsidRPr="009531B6">
        <w:rPr>
          <w:color w:val="000000"/>
          <w:sz w:val="22"/>
          <w:szCs w:val="22"/>
        </w:rPr>
        <w:t>Work Health and Safety Act 2011 (application to Defence activities and Defence members) Declaration 2012 [F2012L02503]</w:t>
      </w:r>
    </w:p>
    <w:p w:rsidR="00EC5913" w:rsidRPr="009531B6" w:rsidRDefault="00EC5913" w:rsidP="00EC5913">
      <w:pPr>
        <w:spacing w:after="0"/>
        <w:ind w:right="-46"/>
        <w:rPr>
          <w:color w:val="000000"/>
          <w:sz w:val="22"/>
          <w:szCs w:val="22"/>
        </w:rPr>
      </w:pPr>
    </w:p>
    <w:p w:rsidR="00EC5913" w:rsidRDefault="00EC5913" w:rsidP="00EC5913">
      <w:pPr>
        <w:spacing w:after="0"/>
        <w:jc w:val="left"/>
        <w:rPr>
          <w:b/>
          <w:sz w:val="28"/>
          <w:u w:val="single"/>
        </w:rPr>
      </w:pPr>
      <w:r>
        <w:rPr>
          <w:u w:val="single"/>
        </w:rPr>
        <w:br w:type="page"/>
      </w:r>
    </w:p>
    <w:p w:rsidR="00EC5913" w:rsidRPr="00C45C72" w:rsidRDefault="00EC5913" w:rsidP="00EC5913">
      <w:pPr>
        <w:pStyle w:val="Heading3"/>
        <w:tabs>
          <w:tab w:val="left" w:pos="284"/>
        </w:tabs>
        <w:spacing w:before="0" w:after="240"/>
        <w:jc w:val="center"/>
        <w:rPr>
          <w:u w:val="single"/>
        </w:rPr>
      </w:pPr>
      <w:r w:rsidRPr="00C45C72">
        <w:rPr>
          <w:u w:val="single"/>
        </w:rPr>
        <w:lastRenderedPageBreak/>
        <w:t xml:space="preserve">Instrument received week ending </w:t>
      </w:r>
      <w:r>
        <w:rPr>
          <w:u w:val="single"/>
        </w:rPr>
        <w:t>18 January 2013</w:t>
      </w:r>
    </w:p>
    <w:p w:rsidR="00EC5913" w:rsidRPr="00573AC7" w:rsidRDefault="00EC5913" w:rsidP="00EC5913">
      <w:pPr>
        <w:spacing w:after="120"/>
        <w:ind w:right="-45"/>
        <w:rPr>
          <w:sz w:val="24"/>
          <w:szCs w:val="24"/>
        </w:rPr>
      </w:pPr>
      <w:r w:rsidRPr="00573AC7">
        <w:rPr>
          <w:b/>
          <w:i/>
          <w:sz w:val="24"/>
          <w:szCs w:val="24"/>
        </w:rPr>
        <w:t>Work Health and Safety Act 2011</w:t>
      </w:r>
    </w:p>
    <w:p w:rsidR="00EC5913" w:rsidRPr="00573AC7" w:rsidRDefault="00EC5913" w:rsidP="00EC5913">
      <w:pPr>
        <w:spacing w:after="0"/>
        <w:ind w:right="-46"/>
        <w:jc w:val="left"/>
        <w:rPr>
          <w:color w:val="000000"/>
          <w:sz w:val="22"/>
          <w:szCs w:val="22"/>
        </w:rPr>
      </w:pPr>
      <w:r w:rsidRPr="00573AC7">
        <w:rPr>
          <w:color w:val="000000"/>
          <w:sz w:val="22"/>
          <w:szCs w:val="22"/>
        </w:rPr>
        <w:t>Work Health and Safety Codes of Practice 2012 [F2012L02522]</w:t>
      </w:r>
    </w:p>
    <w:p w:rsidR="00EC5913" w:rsidRPr="00C45C72" w:rsidRDefault="00EC5913" w:rsidP="003F17A2">
      <w:pPr>
        <w:pStyle w:val="Heading3"/>
        <w:tabs>
          <w:tab w:val="left" w:pos="284"/>
        </w:tabs>
        <w:spacing w:before="240" w:after="240"/>
        <w:jc w:val="center"/>
        <w:rPr>
          <w:u w:val="single"/>
        </w:rPr>
      </w:pPr>
      <w:r w:rsidRPr="00C45C72">
        <w:rPr>
          <w:u w:val="single"/>
        </w:rPr>
        <w:t xml:space="preserve">Instruments received week ending </w:t>
      </w:r>
      <w:r>
        <w:rPr>
          <w:u w:val="single"/>
        </w:rPr>
        <w:t>25 January 2013</w:t>
      </w:r>
    </w:p>
    <w:p w:rsidR="00EC5913" w:rsidRPr="00573AC7" w:rsidRDefault="00EC5913" w:rsidP="00EC5913">
      <w:pPr>
        <w:spacing w:after="120"/>
        <w:ind w:right="-45"/>
        <w:rPr>
          <w:sz w:val="24"/>
          <w:szCs w:val="24"/>
        </w:rPr>
      </w:pPr>
      <w:r w:rsidRPr="00573AC7">
        <w:rPr>
          <w:b/>
          <w:i/>
          <w:sz w:val="24"/>
          <w:szCs w:val="24"/>
        </w:rPr>
        <w:t>Aged Care Act 1997</w:t>
      </w:r>
    </w:p>
    <w:p w:rsidR="00EC5913" w:rsidRPr="00573AC7" w:rsidRDefault="00EC5913" w:rsidP="00EC5913">
      <w:pPr>
        <w:spacing w:after="0"/>
        <w:ind w:right="-46"/>
        <w:jc w:val="left"/>
        <w:rPr>
          <w:color w:val="000000"/>
          <w:sz w:val="22"/>
          <w:szCs w:val="22"/>
        </w:rPr>
      </w:pPr>
      <w:r w:rsidRPr="00573AC7">
        <w:rPr>
          <w:color w:val="000000"/>
          <w:sz w:val="22"/>
          <w:szCs w:val="22"/>
        </w:rPr>
        <w:t>Classification Amendment Principles 2013 (No. 1) [F2013L00074]</w:t>
      </w:r>
    </w:p>
    <w:p w:rsidR="00EC5913" w:rsidRPr="00573AC7" w:rsidRDefault="00EC5913" w:rsidP="00EC5913">
      <w:pPr>
        <w:spacing w:after="0"/>
        <w:ind w:right="-46"/>
        <w:rPr>
          <w:color w:val="000000"/>
          <w:sz w:val="22"/>
          <w:szCs w:val="22"/>
        </w:rPr>
      </w:pPr>
    </w:p>
    <w:p w:rsidR="00EC5913" w:rsidRPr="00F5071E" w:rsidRDefault="00EC5913" w:rsidP="00EC5913">
      <w:pPr>
        <w:spacing w:after="120"/>
        <w:ind w:right="-45"/>
        <w:rPr>
          <w:b/>
        </w:rPr>
      </w:pPr>
      <w:r w:rsidRPr="00F5071E">
        <w:rPr>
          <w:b/>
          <w:i/>
        </w:rPr>
        <w:t>Broadcasting Services Act 1992</w:t>
      </w:r>
    </w:p>
    <w:p w:rsidR="00EC5913" w:rsidRPr="00573AC7" w:rsidRDefault="00EC5913" w:rsidP="00EC5913">
      <w:pPr>
        <w:spacing w:after="0"/>
        <w:ind w:right="-46"/>
        <w:jc w:val="left"/>
        <w:rPr>
          <w:color w:val="000000"/>
          <w:sz w:val="22"/>
          <w:szCs w:val="22"/>
        </w:rPr>
      </w:pPr>
      <w:r w:rsidRPr="00573AC7">
        <w:rPr>
          <w:color w:val="000000"/>
          <w:sz w:val="22"/>
          <w:szCs w:val="22"/>
        </w:rPr>
        <w:t>Broadcasting Services (Digital-Only Local Market Areas for the Remote Central and Eastern Australia TV1, Remote Central and Eastern Australia TV2, Remote and Regional WA TV1 and Western Zone TV1 Licence Areas) Determination (No. 1) 2013 [F2013L00056]</w:t>
      </w:r>
    </w:p>
    <w:p w:rsidR="00EC5913" w:rsidRPr="00573AC7" w:rsidRDefault="00EC5913" w:rsidP="00EC5913">
      <w:pPr>
        <w:spacing w:after="0"/>
        <w:ind w:right="-46"/>
        <w:rPr>
          <w:color w:val="000000"/>
          <w:sz w:val="22"/>
          <w:szCs w:val="22"/>
        </w:rPr>
      </w:pPr>
    </w:p>
    <w:p w:rsidR="00EC5913" w:rsidRPr="00573AC7" w:rsidRDefault="00EC5913" w:rsidP="00EC5913">
      <w:pPr>
        <w:spacing w:after="120"/>
        <w:ind w:right="-45"/>
        <w:rPr>
          <w:sz w:val="24"/>
          <w:szCs w:val="24"/>
        </w:rPr>
      </w:pPr>
      <w:r w:rsidRPr="00573AC7">
        <w:rPr>
          <w:b/>
          <w:i/>
          <w:sz w:val="24"/>
          <w:szCs w:val="24"/>
        </w:rPr>
        <w:t>Civil Aviation Act 1988</w:t>
      </w:r>
    </w:p>
    <w:p w:rsidR="00EC5913" w:rsidRPr="00573AC7" w:rsidRDefault="00EC5913" w:rsidP="00EC5913">
      <w:pPr>
        <w:spacing w:after="60"/>
        <w:ind w:right="-45"/>
        <w:jc w:val="left"/>
        <w:rPr>
          <w:color w:val="000000"/>
          <w:sz w:val="22"/>
          <w:szCs w:val="22"/>
        </w:rPr>
      </w:pPr>
      <w:r w:rsidRPr="00573AC7">
        <w:rPr>
          <w:color w:val="000000"/>
          <w:sz w:val="22"/>
          <w:szCs w:val="22"/>
        </w:rPr>
        <w:t>CASA ADCX 001/13 - Revocation of Airworthiness Directives [F2013L00063]</w:t>
      </w:r>
    </w:p>
    <w:p w:rsidR="00EC5913" w:rsidRPr="00573AC7" w:rsidRDefault="00EC5913" w:rsidP="00EC5913">
      <w:pPr>
        <w:spacing w:after="60"/>
        <w:ind w:right="-45"/>
        <w:jc w:val="left"/>
        <w:rPr>
          <w:color w:val="000000"/>
          <w:sz w:val="22"/>
          <w:szCs w:val="22"/>
        </w:rPr>
      </w:pPr>
      <w:r w:rsidRPr="00573AC7">
        <w:rPr>
          <w:color w:val="000000"/>
          <w:sz w:val="22"/>
          <w:szCs w:val="22"/>
        </w:rPr>
        <w:t>CASA EX02/13 - Exemption - use of ADS-B in aircraft operated by Hi Fly, Lisbon, Portugal [F2013L00066]</w:t>
      </w:r>
    </w:p>
    <w:p w:rsidR="00EC5913" w:rsidRPr="00573AC7" w:rsidRDefault="00EC5913" w:rsidP="00EC5913">
      <w:pPr>
        <w:spacing w:after="60"/>
        <w:ind w:right="-45"/>
        <w:jc w:val="left"/>
        <w:rPr>
          <w:color w:val="000000"/>
          <w:sz w:val="22"/>
          <w:szCs w:val="22"/>
        </w:rPr>
      </w:pPr>
      <w:r w:rsidRPr="00573AC7">
        <w:rPr>
          <w:color w:val="000000"/>
          <w:sz w:val="22"/>
          <w:szCs w:val="22"/>
        </w:rPr>
        <w:t>CASA EX03/13 - Exemption — recency requirements for night flying for F100 aircraft (Network Aviation Pty Ltd) [F2013L00068]</w:t>
      </w:r>
    </w:p>
    <w:p w:rsidR="00EC5913" w:rsidRPr="00573AC7" w:rsidRDefault="00EC5913" w:rsidP="00EC5913">
      <w:pPr>
        <w:spacing w:after="60"/>
        <w:ind w:right="-45"/>
        <w:jc w:val="left"/>
        <w:rPr>
          <w:color w:val="000000"/>
          <w:sz w:val="22"/>
          <w:szCs w:val="22"/>
        </w:rPr>
      </w:pPr>
      <w:r w:rsidRPr="00573AC7">
        <w:rPr>
          <w:color w:val="000000"/>
          <w:sz w:val="22"/>
          <w:szCs w:val="22"/>
        </w:rPr>
        <w:t>CASA EX04/13 - Exemption — recency requirements for night flying for Embraer 120 aircraft (Network Aviation Pty Ltd) [F2013L00069]</w:t>
      </w:r>
    </w:p>
    <w:p w:rsidR="00EC5913" w:rsidRPr="00573AC7" w:rsidRDefault="00EC5913" w:rsidP="00EC5913">
      <w:pPr>
        <w:spacing w:after="60"/>
        <w:ind w:right="-45"/>
        <w:jc w:val="left"/>
        <w:rPr>
          <w:color w:val="000000"/>
          <w:sz w:val="22"/>
          <w:szCs w:val="22"/>
        </w:rPr>
      </w:pPr>
      <w:r w:rsidRPr="00573AC7">
        <w:rPr>
          <w:color w:val="000000"/>
          <w:sz w:val="22"/>
          <w:szCs w:val="22"/>
        </w:rPr>
        <w:t>CASA EX05/13 - Exemption - use of ADS B for the provision of air traffic services [F2013L00061]</w:t>
      </w:r>
    </w:p>
    <w:p w:rsidR="00EC5913" w:rsidRPr="00573AC7" w:rsidRDefault="00EC5913" w:rsidP="00EC5913">
      <w:pPr>
        <w:spacing w:after="0"/>
        <w:ind w:right="-46"/>
        <w:jc w:val="left"/>
        <w:rPr>
          <w:color w:val="000000"/>
          <w:sz w:val="22"/>
          <w:szCs w:val="22"/>
        </w:rPr>
      </w:pPr>
      <w:r w:rsidRPr="00573AC7">
        <w:rPr>
          <w:color w:val="000000"/>
          <w:sz w:val="22"/>
          <w:szCs w:val="22"/>
        </w:rPr>
        <w:t>Civil Aviation Order 20.18 Amendment Instrument 2013 (No. 1) [F2013L00070]</w:t>
      </w:r>
    </w:p>
    <w:p w:rsidR="00EC5913" w:rsidRPr="00573AC7" w:rsidRDefault="00EC5913" w:rsidP="00EC5913">
      <w:pPr>
        <w:spacing w:after="0"/>
        <w:ind w:right="-46"/>
        <w:rPr>
          <w:color w:val="000000"/>
          <w:sz w:val="22"/>
          <w:szCs w:val="22"/>
        </w:rPr>
      </w:pPr>
    </w:p>
    <w:p w:rsidR="00EC5913" w:rsidRPr="00573AC7" w:rsidRDefault="00EC5913" w:rsidP="00EC5913">
      <w:pPr>
        <w:spacing w:after="120"/>
        <w:ind w:right="-45"/>
        <w:rPr>
          <w:b/>
          <w:sz w:val="24"/>
          <w:szCs w:val="24"/>
        </w:rPr>
      </w:pPr>
      <w:r w:rsidRPr="00573AC7">
        <w:rPr>
          <w:b/>
          <w:i/>
          <w:sz w:val="24"/>
          <w:szCs w:val="24"/>
        </w:rPr>
        <w:t>Competition and Consumer Act 2010</w:t>
      </w:r>
    </w:p>
    <w:p w:rsidR="00EC5913" w:rsidRPr="00573AC7" w:rsidRDefault="00EC5913" w:rsidP="00EC5913">
      <w:pPr>
        <w:spacing w:after="0"/>
        <w:ind w:right="-46"/>
        <w:jc w:val="left"/>
        <w:rPr>
          <w:color w:val="000000"/>
          <w:sz w:val="22"/>
          <w:szCs w:val="22"/>
        </w:rPr>
      </w:pPr>
      <w:r w:rsidRPr="00573AC7">
        <w:rPr>
          <w:color w:val="000000"/>
          <w:sz w:val="22"/>
          <w:szCs w:val="22"/>
        </w:rPr>
        <w:t>Consumer Goods (Portable Swimming Pools) Safety Standard 2013 [F2013L00049]</w:t>
      </w:r>
    </w:p>
    <w:p w:rsidR="00EC5913" w:rsidRPr="00573AC7" w:rsidRDefault="00EC5913" w:rsidP="00EC5913">
      <w:pPr>
        <w:spacing w:after="0"/>
        <w:ind w:right="-46"/>
        <w:rPr>
          <w:color w:val="000000"/>
          <w:sz w:val="22"/>
          <w:szCs w:val="22"/>
        </w:rPr>
      </w:pPr>
    </w:p>
    <w:p w:rsidR="00EC5913" w:rsidRPr="00573AC7" w:rsidRDefault="00EC5913" w:rsidP="00EC5913">
      <w:pPr>
        <w:spacing w:after="120"/>
        <w:ind w:right="-45"/>
        <w:rPr>
          <w:sz w:val="24"/>
          <w:szCs w:val="24"/>
        </w:rPr>
      </w:pPr>
      <w:r w:rsidRPr="00573AC7">
        <w:rPr>
          <w:b/>
          <w:i/>
          <w:sz w:val="24"/>
          <w:szCs w:val="24"/>
        </w:rPr>
        <w:t>Corporations Act 2001</w:t>
      </w:r>
    </w:p>
    <w:p w:rsidR="00EC5913" w:rsidRPr="00573AC7" w:rsidRDefault="00EC5913" w:rsidP="00EC5913">
      <w:pPr>
        <w:spacing w:after="60"/>
        <w:ind w:right="-45"/>
        <w:jc w:val="left"/>
        <w:rPr>
          <w:color w:val="000000"/>
          <w:sz w:val="22"/>
          <w:szCs w:val="22"/>
        </w:rPr>
      </w:pPr>
      <w:r w:rsidRPr="00573AC7">
        <w:rPr>
          <w:color w:val="000000"/>
          <w:sz w:val="22"/>
          <w:szCs w:val="22"/>
        </w:rPr>
        <w:t>AASB 2012-9 - Amendment to AASB 1048 arising from the Withdrawal of Australian Interpretation 1039 - January 2013 [F2013L00073]</w:t>
      </w:r>
    </w:p>
    <w:p w:rsidR="00EC5913" w:rsidRPr="00573AC7" w:rsidRDefault="00EC5913" w:rsidP="00EC5913">
      <w:pPr>
        <w:spacing w:after="0"/>
        <w:ind w:right="-46"/>
        <w:jc w:val="left"/>
        <w:rPr>
          <w:sz w:val="22"/>
          <w:szCs w:val="22"/>
        </w:rPr>
      </w:pPr>
      <w:r w:rsidRPr="00573AC7">
        <w:rPr>
          <w:sz w:val="22"/>
          <w:szCs w:val="22"/>
        </w:rPr>
        <w:t>ASIC Class Order [CO 13/19] [F2013L00044]</w:t>
      </w:r>
    </w:p>
    <w:p w:rsidR="00EC5913" w:rsidRPr="00573AC7" w:rsidRDefault="00EC5913" w:rsidP="00EC5913">
      <w:pPr>
        <w:pStyle w:val="ListParagraph"/>
        <w:ind w:left="0" w:right="-46"/>
      </w:pPr>
    </w:p>
    <w:p w:rsidR="00EC5913" w:rsidRPr="00573AC7" w:rsidRDefault="00EC5913" w:rsidP="00EC5913">
      <w:pPr>
        <w:spacing w:after="120"/>
        <w:ind w:right="-45"/>
        <w:rPr>
          <w:sz w:val="24"/>
          <w:szCs w:val="24"/>
        </w:rPr>
      </w:pPr>
      <w:r w:rsidRPr="00573AC7">
        <w:rPr>
          <w:b/>
          <w:i/>
          <w:sz w:val="24"/>
          <w:szCs w:val="24"/>
        </w:rPr>
        <w:t>Currency Act 1965</w:t>
      </w:r>
    </w:p>
    <w:p w:rsidR="00EC5913" w:rsidRPr="00573AC7" w:rsidRDefault="00EC5913" w:rsidP="00EC5913">
      <w:pPr>
        <w:spacing w:after="60"/>
        <w:ind w:right="-45"/>
        <w:jc w:val="left"/>
        <w:rPr>
          <w:color w:val="000000"/>
          <w:sz w:val="22"/>
          <w:szCs w:val="22"/>
        </w:rPr>
      </w:pPr>
      <w:r w:rsidRPr="00573AC7">
        <w:rPr>
          <w:color w:val="000000"/>
          <w:sz w:val="22"/>
          <w:szCs w:val="22"/>
        </w:rPr>
        <w:t>Currency (Perth Mint) Determination 2013 (No. 1) [F2013L00065]</w:t>
      </w:r>
    </w:p>
    <w:p w:rsidR="00EC5913" w:rsidRPr="00573AC7" w:rsidRDefault="00EC5913" w:rsidP="00EC5913">
      <w:pPr>
        <w:spacing w:after="60"/>
        <w:ind w:right="-45"/>
        <w:jc w:val="left"/>
        <w:rPr>
          <w:color w:val="000000"/>
          <w:sz w:val="22"/>
          <w:szCs w:val="22"/>
        </w:rPr>
      </w:pPr>
      <w:r w:rsidRPr="00573AC7">
        <w:rPr>
          <w:color w:val="000000"/>
          <w:sz w:val="22"/>
          <w:szCs w:val="22"/>
        </w:rPr>
        <w:t>Currency (Royal Australian Mint) Determination 2012 (No. 6) [F2013L00053]</w:t>
      </w:r>
    </w:p>
    <w:p w:rsidR="00EC5913" w:rsidRPr="00573AC7" w:rsidRDefault="00EC5913" w:rsidP="00EC5913">
      <w:pPr>
        <w:spacing w:after="0"/>
        <w:ind w:right="-46"/>
        <w:jc w:val="left"/>
        <w:rPr>
          <w:color w:val="000000"/>
          <w:sz w:val="22"/>
          <w:szCs w:val="22"/>
        </w:rPr>
      </w:pPr>
      <w:r w:rsidRPr="00573AC7">
        <w:rPr>
          <w:color w:val="000000"/>
          <w:sz w:val="22"/>
          <w:szCs w:val="22"/>
        </w:rPr>
        <w:t>Currency Legislation (Royal Australian Mint) Amendment Determination 2012 (No. 2) [F2013L00058]</w:t>
      </w:r>
    </w:p>
    <w:p w:rsidR="00EC5913" w:rsidRPr="00573AC7" w:rsidRDefault="00EC5913" w:rsidP="00EC5913">
      <w:pPr>
        <w:spacing w:after="0"/>
        <w:ind w:right="-46"/>
        <w:rPr>
          <w:color w:val="000000"/>
          <w:sz w:val="22"/>
          <w:szCs w:val="22"/>
        </w:rPr>
      </w:pPr>
    </w:p>
    <w:p w:rsidR="00EC5913" w:rsidRPr="00573AC7" w:rsidRDefault="00EC5913" w:rsidP="00EC5913">
      <w:pPr>
        <w:spacing w:after="120"/>
        <w:ind w:right="-45"/>
        <w:rPr>
          <w:color w:val="000000"/>
          <w:sz w:val="24"/>
          <w:szCs w:val="24"/>
        </w:rPr>
      </w:pPr>
      <w:r w:rsidRPr="00573AC7">
        <w:rPr>
          <w:b/>
          <w:i/>
          <w:color w:val="000000"/>
          <w:sz w:val="24"/>
          <w:szCs w:val="24"/>
        </w:rPr>
        <w:t>Defence Act 1903</w:t>
      </w:r>
    </w:p>
    <w:p w:rsidR="00EC5913" w:rsidRPr="00573AC7" w:rsidRDefault="00EC5913" w:rsidP="00EC5913">
      <w:pPr>
        <w:spacing w:after="60"/>
        <w:ind w:right="-45"/>
        <w:jc w:val="left"/>
        <w:rPr>
          <w:color w:val="000000"/>
          <w:sz w:val="22"/>
          <w:szCs w:val="22"/>
        </w:rPr>
      </w:pPr>
      <w:r w:rsidRPr="00573AC7">
        <w:rPr>
          <w:color w:val="000000"/>
          <w:sz w:val="22"/>
          <w:szCs w:val="22"/>
        </w:rPr>
        <w:t>Defence Determination 2012/68, Reserve employer support payments</w:t>
      </w:r>
    </w:p>
    <w:p w:rsidR="00EC5913" w:rsidRPr="00573AC7" w:rsidRDefault="00EC5913" w:rsidP="00EC5913">
      <w:pPr>
        <w:spacing w:after="60"/>
        <w:ind w:right="-45"/>
        <w:jc w:val="left"/>
        <w:rPr>
          <w:color w:val="000000"/>
          <w:sz w:val="22"/>
          <w:szCs w:val="22"/>
        </w:rPr>
      </w:pPr>
      <w:r w:rsidRPr="00573AC7">
        <w:rPr>
          <w:color w:val="000000"/>
          <w:sz w:val="22"/>
          <w:szCs w:val="22"/>
        </w:rPr>
        <w:t>Defence Determination 2012/69, Post indexes – price review</w:t>
      </w:r>
    </w:p>
    <w:p w:rsidR="00EC5913" w:rsidRPr="00573AC7" w:rsidRDefault="00EC5913" w:rsidP="00EC5913">
      <w:pPr>
        <w:spacing w:after="60"/>
        <w:ind w:right="-45"/>
        <w:jc w:val="left"/>
        <w:rPr>
          <w:color w:val="000000"/>
          <w:sz w:val="22"/>
          <w:szCs w:val="22"/>
        </w:rPr>
      </w:pPr>
      <w:r w:rsidRPr="00573AC7">
        <w:rPr>
          <w:color w:val="000000"/>
          <w:sz w:val="22"/>
          <w:szCs w:val="22"/>
        </w:rPr>
        <w:t>Defence Determination 2012/70, Benchmark schools and approved club – amendment</w:t>
      </w:r>
    </w:p>
    <w:p w:rsidR="00EC5913" w:rsidRPr="00573AC7" w:rsidRDefault="00EC5913" w:rsidP="00EC5913">
      <w:pPr>
        <w:spacing w:after="60"/>
        <w:ind w:right="-45"/>
        <w:jc w:val="left"/>
        <w:rPr>
          <w:color w:val="000000"/>
          <w:sz w:val="22"/>
          <w:szCs w:val="22"/>
        </w:rPr>
      </w:pPr>
      <w:r w:rsidRPr="00573AC7">
        <w:rPr>
          <w:color w:val="000000"/>
          <w:sz w:val="22"/>
          <w:szCs w:val="22"/>
        </w:rPr>
        <w:t>Defence Determination 2012/71, Reserve member attending for duty in special circumstances – amendment</w:t>
      </w:r>
    </w:p>
    <w:p w:rsidR="00EC5913" w:rsidRPr="00573AC7" w:rsidRDefault="00EC5913" w:rsidP="00EC5913">
      <w:pPr>
        <w:spacing w:after="60"/>
        <w:ind w:right="-45"/>
        <w:jc w:val="left"/>
        <w:rPr>
          <w:color w:val="000000"/>
          <w:sz w:val="22"/>
          <w:szCs w:val="22"/>
        </w:rPr>
      </w:pPr>
      <w:r w:rsidRPr="00573AC7">
        <w:rPr>
          <w:color w:val="000000"/>
          <w:sz w:val="22"/>
          <w:szCs w:val="22"/>
        </w:rPr>
        <w:t>Defence Determination 2012/72, Increment advancement – amendment</w:t>
      </w:r>
    </w:p>
    <w:p w:rsidR="00EC5913" w:rsidRPr="00573AC7" w:rsidRDefault="00EC5913" w:rsidP="00EC5913">
      <w:pPr>
        <w:spacing w:after="60"/>
        <w:ind w:right="-45"/>
        <w:jc w:val="left"/>
        <w:rPr>
          <w:color w:val="000000"/>
          <w:sz w:val="22"/>
          <w:szCs w:val="22"/>
        </w:rPr>
      </w:pPr>
      <w:r w:rsidRPr="00573AC7">
        <w:rPr>
          <w:color w:val="000000"/>
          <w:sz w:val="22"/>
          <w:szCs w:val="22"/>
        </w:rPr>
        <w:lastRenderedPageBreak/>
        <w:t>Defence Determination 2013/1, Legal officer specialist officer career structure – amendment</w:t>
      </w:r>
    </w:p>
    <w:p w:rsidR="00EC5913" w:rsidRPr="00573AC7" w:rsidRDefault="00EC5913" w:rsidP="00EC5913">
      <w:pPr>
        <w:spacing w:after="0"/>
        <w:ind w:right="-46"/>
        <w:jc w:val="left"/>
        <w:rPr>
          <w:color w:val="000000"/>
          <w:sz w:val="22"/>
          <w:szCs w:val="22"/>
        </w:rPr>
      </w:pPr>
      <w:r w:rsidRPr="00573AC7">
        <w:rPr>
          <w:color w:val="000000"/>
          <w:sz w:val="22"/>
          <w:szCs w:val="22"/>
        </w:rPr>
        <w:t>Defence Determination 2013/2, Salary non-reduction - amendment</w:t>
      </w:r>
    </w:p>
    <w:p w:rsidR="00EC5913" w:rsidRPr="00573AC7" w:rsidRDefault="00EC5913" w:rsidP="00EC5913">
      <w:pPr>
        <w:spacing w:after="0"/>
        <w:ind w:right="-46"/>
        <w:rPr>
          <w:color w:val="000000"/>
          <w:sz w:val="22"/>
          <w:szCs w:val="22"/>
        </w:rPr>
      </w:pPr>
    </w:p>
    <w:p w:rsidR="00EC5913" w:rsidRPr="00573AC7" w:rsidRDefault="00EC5913" w:rsidP="00EC5913">
      <w:pPr>
        <w:spacing w:after="120"/>
        <w:ind w:right="-45"/>
        <w:rPr>
          <w:sz w:val="24"/>
          <w:szCs w:val="24"/>
        </w:rPr>
      </w:pPr>
      <w:r w:rsidRPr="00573AC7">
        <w:rPr>
          <w:b/>
          <w:i/>
          <w:sz w:val="24"/>
          <w:szCs w:val="24"/>
        </w:rPr>
        <w:t>Financial Sector (Collection of Data) Act 2001</w:t>
      </w:r>
    </w:p>
    <w:p w:rsidR="00EC5913" w:rsidRPr="00573AC7" w:rsidRDefault="00EC5913" w:rsidP="00EC5913">
      <w:pPr>
        <w:spacing w:after="0"/>
        <w:ind w:right="-46"/>
        <w:jc w:val="left"/>
        <w:rPr>
          <w:color w:val="000000"/>
          <w:sz w:val="22"/>
          <w:szCs w:val="22"/>
        </w:rPr>
      </w:pPr>
      <w:r w:rsidRPr="00573AC7">
        <w:rPr>
          <w:color w:val="000000"/>
          <w:sz w:val="22"/>
          <w:szCs w:val="22"/>
        </w:rPr>
        <w:t>Financial Sector (Collection of Data) (reporting standard) determination No. 1 of 2013 - GRS 001 - Reporting Requirements [F2013L00076]</w:t>
      </w:r>
    </w:p>
    <w:p w:rsidR="00EC5913" w:rsidRPr="00573AC7" w:rsidRDefault="00EC5913" w:rsidP="00EC5913">
      <w:pPr>
        <w:spacing w:after="0"/>
        <w:ind w:right="-46"/>
        <w:rPr>
          <w:color w:val="000000"/>
          <w:sz w:val="22"/>
          <w:szCs w:val="22"/>
        </w:rPr>
      </w:pPr>
    </w:p>
    <w:p w:rsidR="00EC5913" w:rsidRPr="00573AC7" w:rsidRDefault="00EC5913" w:rsidP="00EC5913">
      <w:pPr>
        <w:spacing w:after="120"/>
        <w:ind w:right="-45"/>
        <w:rPr>
          <w:sz w:val="24"/>
          <w:szCs w:val="24"/>
        </w:rPr>
      </w:pPr>
      <w:r w:rsidRPr="00573AC7">
        <w:rPr>
          <w:b/>
          <w:i/>
          <w:sz w:val="24"/>
          <w:szCs w:val="24"/>
        </w:rPr>
        <w:t>Higher Education Support Act 2003</w:t>
      </w:r>
    </w:p>
    <w:p w:rsidR="00EC5913" w:rsidRPr="00573AC7" w:rsidRDefault="00EC5913" w:rsidP="003F17A2">
      <w:pPr>
        <w:spacing w:after="60"/>
        <w:ind w:right="-45"/>
        <w:jc w:val="left"/>
        <w:rPr>
          <w:color w:val="000000"/>
          <w:sz w:val="22"/>
          <w:szCs w:val="22"/>
        </w:rPr>
      </w:pPr>
      <w:r w:rsidRPr="00573AC7">
        <w:rPr>
          <w:color w:val="000000"/>
          <w:sz w:val="22"/>
          <w:szCs w:val="22"/>
        </w:rPr>
        <w:t>Higher Education Support Act 2003 - VET Provider Approval (No. 2 of 2013) [F2013L00055]</w:t>
      </w:r>
    </w:p>
    <w:p w:rsidR="00EC5913" w:rsidRPr="00573AC7" w:rsidRDefault="00EC5913" w:rsidP="003F17A2">
      <w:pPr>
        <w:spacing w:after="60"/>
        <w:ind w:right="-46"/>
        <w:jc w:val="left"/>
        <w:rPr>
          <w:color w:val="000000"/>
          <w:sz w:val="22"/>
          <w:szCs w:val="22"/>
        </w:rPr>
      </w:pPr>
      <w:r w:rsidRPr="00573AC7">
        <w:rPr>
          <w:color w:val="000000"/>
          <w:sz w:val="22"/>
          <w:szCs w:val="22"/>
        </w:rPr>
        <w:t>Higher Education Support Act 2003 - VET Provider Approval (No. 3 of 2013) [F2013L00064]</w:t>
      </w:r>
    </w:p>
    <w:p w:rsidR="00EC5913" w:rsidRPr="00573AC7" w:rsidRDefault="00EC5913" w:rsidP="00EC5913">
      <w:pPr>
        <w:spacing w:after="0"/>
        <w:ind w:right="-46"/>
        <w:rPr>
          <w:color w:val="000000"/>
          <w:sz w:val="22"/>
          <w:szCs w:val="22"/>
        </w:rPr>
      </w:pPr>
    </w:p>
    <w:p w:rsidR="00EC5913" w:rsidRPr="00573AC7" w:rsidRDefault="00EC5913" w:rsidP="003F17A2">
      <w:pPr>
        <w:spacing w:after="120"/>
        <w:ind w:right="-45"/>
        <w:rPr>
          <w:sz w:val="24"/>
          <w:szCs w:val="24"/>
        </w:rPr>
      </w:pPr>
      <w:r w:rsidRPr="00573AC7">
        <w:rPr>
          <w:b/>
          <w:i/>
          <w:sz w:val="24"/>
          <w:szCs w:val="24"/>
        </w:rPr>
        <w:t>National Consumer Credit Protection Act 2009</w:t>
      </w:r>
    </w:p>
    <w:p w:rsidR="00EC5913" w:rsidRPr="00573AC7" w:rsidRDefault="00EC5913" w:rsidP="00EC5913">
      <w:pPr>
        <w:spacing w:after="0"/>
        <w:ind w:right="-46"/>
        <w:jc w:val="left"/>
        <w:rPr>
          <w:sz w:val="22"/>
          <w:szCs w:val="22"/>
        </w:rPr>
      </w:pPr>
      <w:r w:rsidRPr="00573AC7">
        <w:rPr>
          <w:sz w:val="22"/>
          <w:szCs w:val="22"/>
        </w:rPr>
        <w:t>ASIC Class Order [CO 13/18] [F2013L00043]</w:t>
      </w:r>
    </w:p>
    <w:p w:rsidR="00EC5913" w:rsidRPr="00573AC7" w:rsidRDefault="00EC5913" w:rsidP="00EC5913">
      <w:pPr>
        <w:pStyle w:val="ListParagraph"/>
        <w:ind w:left="0" w:right="-46"/>
      </w:pPr>
    </w:p>
    <w:p w:rsidR="00EC5913" w:rsidRPr="00573AC7" w:rsidRDefault="00EC5913" w:rsidP="003F17A2">
      <w:pPr>
        <w:spacing w:after="120"/>
        <w:ind w:right="-45"/>
        <w:rPr>
          <w:sz w:val="24"/>
          <w:szCs w:val="24"/>
        </w:rPr>
      </w:pPr>
      <w:r w:rsidRPr="00573AC7">
        <w:rPr>
          <w:b/>
          <w:i/>
          <w:sz w:val="24"/>
          <w:szCs w:val="24"/>
        </w:rPr>
        <w:t>National Health Act 1953</w:t>
      </w:r>
    </w:p>
    <w:p w:rsidR="00EC5913" w:rsidRPr="00573AC7" w:rsidRDefault="00EC5913" w:rsidP="00EC5913">
      <w:pPr>
        <w:spacing w:after="60"/>
        <w:ind w:right="-45"/>
        <w:jc w:val="left"/>
        <w:rPr>
          <w:color w:val="000000"/>
          <w:sz w:val="22"/>
          <w:szCs w:val="22"/>
        </w:rPr>
      </w:pPr>
      <w:r w:rsidRPr="00573AC7">
        <w:rPr>
          <w:color w:val="000000"/>
          <w:sz w:val="22"/>
          <w:szCs w:val="22"/>
        </w:rPr>
        <w:t xml:space="preserve">National Health Act 1953 - Amendment determination under paragraph </w:t>
      </w:r>
      <w:proofErr w:type="gramStart"/>
      <w:r w:rsidRPr="00573AC7">
        <w:rPr>
          <w:color w:val="000000"/>
          <w:sz w:val="22"/>
          <w:szCs w:val="22"/>
        </w:rPr>
        <w:t>98C(</w:t>
      </w:r>
      <w:proofErr w:type="gramEnd"/>
      <w:r w:rsidRPr="00573AC7">
        <w:rPr>
          <w:color w:val="000000"/>
          <w:sz w:val="22"/>
          <w:szCs w:val="22"/>
        </w:rPr>
        <w:t>1)(b) (No. PB 5 of 2013) [F2013L00071]</w:t>
      </w:r>
    </w:p>
    <w:p w:rsidR="00EC5913" w:rsidRPr="00573AC7" w:rsidRDefault="00EC5913" w:rsidP="00EC5913">
      <w:pPr>
        <w:spacing w:after="60"/>
        <w:ind w:right="-45"/>
        <w:jc w:val="left"/>
        <w:rPr>
          <w:color w:val="000000"/>
          <w:sz w:val="22"/>
          <w:szCs w:val="22"/>
        </w:rPr>
      </w:pPr>
      <w:r w:rsidRPr="00573AC7">
        <w:rPr>
          <w:color w:val="000000"/>
          <w:sz w:val="22"/>
          <w:szCs w:val="22"/>
        </w:rPr>
        <w:t>National Health (Efficient Funding of Chemotherapy) Special Arrangement Amendment Instrument 2013 (No. 1) [F2013L00046]</w:t>
      </w:r>
    </w:p>
    <w:p w:rsidR="00EC5913" w:rsidRPr="00573AC7" w:rsidRDefault="00EC5913" w:rsidP="00EC5913">
      <w:pPr>
        <w:spacing w:after="0"/>
        <w:ind w:right="-46"/>
        <w:jc w:val="left"/>
        <w:rPr>
          <w:color w:val="000000"/>
          <w:sz w:val="22"/>
          <w:szCs w:val="22"/>
        </w:rPr>
      </w:pPr>
      <w:proofErr w:type="gramStart"/>
      <w:r w:rsidRPr="00573AC7">
        <w:rPr>
          <w:color w:val="000000"/>
          <w:sz w:val="22"/>
          <w:szCs w:val="22"/>
        </w:rPr>
        <w:t>National Health (Listing of Pharmaceutical Benefits) Amendment Instrument 2013 (No. 2) (No.</w:t>
      </w:r>
      <w:proofErr w:type="gramEnd"/>
      <w:r w:rsidRPr="00573AC7">
        <w:rPr>
          <w:color w:val="000000"/>
          <w:sz w:val="22"/>
          <w:szCs w:val="22"/>
        </w:rPr>
        <w:t xml:space="preserve"> PB 4 of 2013) [F2013L00072]</w:t>
      </w:r>
    </w:p>
    <w:p w:rsidR="00EC5913" w:rsidRPr="00573AC7" w:rsidRDefault="00EC5913" w:rsidP="00EC5913">
      <w:pPr>
        <w:spacing w:after="0"/>
        <w:ind w:right="-46"/>
        <w:rPr>
          <w:color w:val="000000"/>
          <w:sz w:val="22"/>
          <w:szCs w:val="22"/>
        </w:rPr>
      </w:pPr>
    </w:p>
    <w:p w:rsidR="00EC5913" w:rsidRPr="00573AC7" w:rsidRDefault="00EC5913" w:rsidP="003F17A2">
      <w:pPr>
        <w:spacing w:after="120"/>
        <w:ind w:right="-45"/>
        <w:rPr>
          <w:sz w:val="24"/>
          <w:szCs w:val="24"/>
        </w:rPr>
      </w:pPr>
      <w:r w:rsidRPr="00573AC7">
        <w:rPr>
          <w:b/>
          <w:i/>
          <w:sz w:val="24"/>
          <w:szCs w:val="24"/>
        </w:rPr>
        <w:t>Protection of the Sea (Prevention of Pollution from Ships) Act 1983</w:t>
      </w:r>
    </w:p>
    <w:p w:rsidR="00EC5913" w:rsidRPr="00573AC7" w:rsidRDefault="00EC5913" w:rsidP="00EC5913">
      <w:pPr>
        <w:spacing w:after="0"/>
        <w:ind w:right="-46"/>
        <w:jc w:val="left"/>
        <w:rPr>
          <w:color w:val="000000"/>
          <w:sz w:val="22"/>
          <w:szCs w:val="22"/>
        </w:rPr>
      </w:pPr>
      <w:r w:rsidRPr="00573AC7">
        <w:rPr>
          <w:color w:val="000000"/>
          <w:sz w:val="22"/>
          <w:szCs w:val="22"/>
        </w:rPr>
        <w:t>Marine Order 95 (Marine pollution prevention - garbage) 2013 [F2013L00059]</w:t>
      </w:r>
    </w:p>
    <w:p w:rsidR="00EC5913" w:rsidRPr="00573AC7" w:rsidRDefault="00EC5913" w:rsidP="00EC5913">
      <w:pPr>
        <w:spacing w:after="0"/>
        <w:ind w:right="-46"/>
        <w:rPr>
          <w:color w:val="000000"/>
          <w:sz w:val="22"/>
          <w:szCs w:val="22"/>
        </w:rPr>
      </w:pPr>
    </w:p>
    <w:p w:rsidR="00EC5913" w:rsidRPr="00573AC7" w:rsidRDefault="00EC5913" w:rsidP="003F17A2">
      <w:pPr>
        <w:spacing w:after="120"/>
        <w:ind w:right="-45"/>
        <w:rPr>
          <w:sz w:val="24"/>
          <w:szCs w:val="24"/>
        </w:rPr>
      </w:pPr>
      <w:r w:rsidRPr="00573AC7">
        <w:rPr>
          <w:b/>
          <w:i/>
          <w:sz w:val="24"/>
          <w:szCs w:val="24"/>
        </w:rPr>
        <w:t>Water Efficiency Labelling and Standards Act 2005</w:t>
      </w:r>
    </w:p>
    <w:p w:rsidR="00EC5913" w:rsidRPr="00573AC7" w:rsidRDefault="00EC5913" w:rsidP="00EC5913">
      <w:pPr>
        <w:spacing w:after="0"/>
        <w:ind w:right="-46"/>
        <w:jc w:val="left"/>
        <w:rPr>
          <w:color w:val="000000"/>
          <w:sz w:val="22"/>
          <w:szCs w:val="22"/>
        </w:rPr>
      </w:pPr>
      <w:r w:rsidRPr="00573AC7">
        <w:rPr>
          <w:color w:val="000000"/>
          <w:sz w:val="22"/>
          <w:szCs w:val="22"/>
        </w:rPr>
        <w:t>Water Efficiency Labelling and Standards Determination 2013 [F2013L00067]</w:t>
      </w:r>
    </w:p>
    <w:p w:rsidR="00EC5913" w:rsidRPr="00C45C72" w:rsidRDefault="00EC5913" w:rsidP="00EC5913">
      <w:pPr>
        <w:pStyle w:val="Heading3"/>
        <w:tabs>
          <w:tab w:val="left" w:pos="284"/>
        </w:tabs>
        <w:spacing w:before="360" w:after="360"/>
        <w:jc w:val="center"/>
        <w:rPr>
          <w:u w:val="single"/>
        </w:rPr>
      </w:pPr>
      <w:r w:rsidRPr="00C45C72">
        <w:rPr>
          <w:u w:val="single"/>
        </w:rPr>
        <w:t xml:space="preserve">Instruments received week ending </w:t>
      </w:r>
      <w:r>
        <w:rPr>
          <w:u w:val="single"/>
        </w:rPr>
        <w:t>1 February 2013</w:t>
      </w:r>
    </w:p>
    <w:p w:rsidR="00EC5913" w:rsidRPr="0053183F" w:rsidRDefault="00EC5913" w:rsidP="003F17A2">
      <w:pPr>
        <w:spacing w:after="120"/>
        <w:ind w:right="-45"/>
        <w:rPr>
          <w:sz w:val="24"/>
          <w:szCs w:val="24"/>
        </w:rPr>
      </w:pPr>
      <w:r w:rsidRPr="0053183F">
        <w:rPr>
          <w:b/>
          <w:i/>
          <w:sz w:val="24"/>
          <w:szCs w:val="24"/>
        </w:rPr>
        <w:t>Corporations Act 2001</w:t>
      </w:r>
    </w:p>
    <w:p w:rsidR="00EC5913" w:rsidRPr="0053183F" w:rsidRDefault="00EC5913" w:rsidP="00EC5913">
      <w:pPr>
        <w:spacing w:after="60"/>
        <w:ind w:right="-45"/>
        <w:jc w:val="left"/>
        <w:rPr>
          <w:sz w:val="22"/>
          <w:szCs w:val="22"/>
        </w:rPr>
      </w:pPr>
      <w:r w:rsidRPr="0053183F">
        <w:rPr>
          <w:sz w:val="22"/>
          <w:szCs w:val="22"/>
        </w:rPr>
        <w:t>AASB 2012-10 – Amendments to Australian Accounting Standards – Transition Guidance and Other Amendments – December 2012 [F2013L00080]</w:t>
      </w:r>
    </w:p>
    <w:p w:rsidR="00EC5913" w:rsidRPr="0053183F" w:rsidRDefault="00EC5913" w:rsidP="00EC5913">
      <w:pPr>
        <w:spacing w:after="0"/>
        <w:ind w:right="-46"/>
        <w:jc w:val="left"/>
        <w:rPr>
          <w:sz w:val="22"/>
          <w:szCs w:val="22"/>
        </w:rPr>
      </w:pPr>
      <w:r w:rsidRPr="0053183F">
        <w:rPr>
          <w:sz w:val="22"/>
          <w:szCs w:val="22"/>
        </w:rPr>
        <w:t>AASB 2012-11 – Amendments to Australian Accounting Standards – Reduced Disclosure Requirements and Other Amendments – December 2012 [F2013L00075]</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Environment Protection and Biodiversity Conservation Act 1999</w:t>
      </w:r>
    </w:p>
    <w:p w:rsidR="00EC5913" w:rsidRPr="0053183F" w:rsidRDefault="00EC5913" w:rsidP="00EC5913">
      <w:pPr>
        <w:spacing w:after="60"/>
        <w:ind w:right="-45"/>
        <w:jc w:val="left"/>
        <w:rPr>
          <w:sz w:val="22"/>
          <w:szCs w:val="22"/>
        </w:rPr>
      </w:pPr>
      <w:r w:rsidRPr="0053183F">
        <w:rPr>
          <w:sz w:val="22"/>
          <w:szCs w:val="22"/>
        </w:rPr>
        <w:t>Amendment of List of Exempt Native Specimens – Western Australian West Coast Rock Lobster Managed Fishery (22/01/2013) [F2013L00089]</w:t>
      </w:r>
    </w:p>
    <w:p w:rsidR="00EC5913" w:rsidRPr="0053183F" w:rsidRDefault="00EC5913" w:rsidP="00EC5913">
      <w:pPr>
        <w:spacing w:after="0"/>
        <w:ind w:right="-46"/>
        <w:jc w:val="left"/>
        <w:rPr>
          <w:sz w:val="22"/>
          <w:szCs w:val="22"/>
        </w:rPr>
      </w:pPr>
      <w:r w:rsidRPr="0053183F">
        <w:rPr>
          <w:sz w:val="22"/>
          <w:szCs w:val="22"/>
        </w:rPr>
        <w:t>Amendment of List of Exempt Native Specimens – Western Australian Western Rock Lobster Fishery (22/01/2013) [F2013L00090]</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Financial Sector (Collection of Data) Act 2001</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2 of 2013 – GRS 110.1 – Prescribed Capital Amount [F2013L00077]</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3 of 2013 – GRS 112.0 – Determination of Capital Base [F2013L00081]</w:t>
      </w:r>
    </w:p>
    <w:p w:rsidR="00EC5913" w:rsidRPr="0053183F" w:rsidRDefault="00EC5913" w:rsidP="00EC5913">
      <w:pPr>
        <w:spacing w:after="60"/>
        <w:ind w:right="-45"/>
        <w:jc w:val="left"/>
        <w:rPr>
          <w:sz w:val="22"/>
          <w:szCs w:val="22"/>
        </w:rPr>
      </w:pPr>
      <w:r w:rsidRPr="0053183F">
        <w:rPr>
          <w:sz w:val="22"/>
          <w:szCs w:val="22"/>
        </w:rPr>
        <w:lastRenderedPageBreak/>
        <w:t>Financial Sector (Collection of Data) (reporting standard) determination No. 7 of 2013 – GRS 114.4 – Details of Investment Assets [F2013L00091]</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9 of 2013 – GRS 110.1 – Prescribed Capital Amount [F2013L00077]</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17 of 2013 – GRS 310.0 – Income Statement [F2013L00078]</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21 of 2013 – GRS 400.0 – Statement of Risk by Country [F2013L00079]</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26 of 2013 – GRS 170.0 (2008) – Concentration Risk Charge; Reporting Standard GRS 900.0 – Transitional Arrangements 2010 [F2013L00083]</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27 of 2013 – GRS 110.0_G – Prescribed Capital Amount (Level 2 Insurance Group) [F2013L00092]</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28 of 2013 – GRS 112.0_G – Determination of Capital Base (Level 2 Insurance Group) [F2013L00093]</w:t>
      </w:r>
    </w:p>
    <w:p w:rsidR="00EC5913" w:rsidRPr="0053183F" w:rsidRDefault="00EC5913" w:rsidP="00EC5913">
      <w:pPr>
        <w:spacing w:after="60"/>
        <w:ind w:right="-45"/>
        <w:jc w:val="left"/>
        <w:rPr>
          <w:sz w:val="22"/>
          <w:szCs w:val="22"/>
        </w:rPr>
      </w:pPr>
      <w:r w:rsidRPr="0053183F">
        <w:rPr>
          <w:sz w:val="22"/>
          <w:szCs w:val="22"/>
        </w:rPr>
        <w:t>Financial Sector (Collection of Data) (reporting standard) determination No. 29 of 2013 – GRS 112.3_G – Related Party Exposures (Level 2 Insurance Group) [F2013L00094]</w:t>
      </w:r>
    </w:p>
    <w:p w:rsidR="00EC5913" w:rsidRPr="0053183F" w:rsidRDefault="00EC5913" w:rsidP="00EC5913">
      <w:pPr>
        <w:spacing w:after="0"/>
        <w:ind w:right="-46"/>
        <w:jc w:val="left"/>
        <w:rPr>
          <w:sz w:val="22"/>
          <w:szCs w:val="22"/>
        </w:rPr>
      </w:pPr>
      <w:r w:rsidRPr="0053183F">
        <w:rPr>
          <w:sz w:val="22"/>
          <w:szCs w:val="22"/>
        </w:rPr>
        <w:t>Financial Sector (Collection of Data) (reporting standard) determination No. 32 of 2013 – GRS 114.3_G – Off-balance Sheet Business (Level 2 Insurance Group) [F2013L00095]</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Radiocommunications Act 1992</w:t>
      </w:r>
    </w:p>
    <w:p w:rsidR="00EC5913" w:rsidRPr="0053183F" w:rsidRDefault="00EC5913" w:rsidP="00EC5913">
      <w:pPr>
        <w:spacing w:after="60"/>
        <w:ind w:right="-45"/>
        <w:jc w:val="left"/>
        <w:rPr>
          <w:sz w:val="22"/>
          <w:szCs w:val="22"/>
        </w:rPr>
      </w:pPr>
      <w:r w:rsidRPr="0053183F">
        <w:rPr>
          <w:sz w:val="22"/>
          <w:szCs w:val="22"/>
        </w:rPr>
        <w:t>Radiocommunications (Compliance Labelling – Electromagnetic Radiation) Amendment Notice Notice 2013 (No. 1) [F2013L00086]</w:t>
      </w:r>
    </w:p>
    <w:p w:rsidR="00EC5913" w:rsidRPr="0053183F" w:rsidRDefault="00EC5913" w:rsidP="00EC5913">
      <w:pPr>
        <w:spacing w:after="60"/>
        <w:ind w:right="-45"/>
        <w:jc w:val="left"/>
        <w:rPr>
          <w:sz w:val="22"/>
          <w:szCs w:val="22"/>
        </w:rPr>
      </w:pPr>
      <w:r w:rsidRPr="0053183F">
        <w:rPr>
          <w:sz w:val="22"/>
          <w:szCs w:val="22"/>
        </w:rPr>
        <w:t>Radiocommunications Devices (Compliance Labelling) Amendment Notice 2013 (No. 1) [F2013L00085]</w:t>
      </w:r>
    </w:p>
    <w:p w:rsidR="00EC5913" w:rsidRPr="0053183F" w:rsidRDefault="00EC5913" w:rsidP="00EC5913">
      <w:pPr>
        <w:spacing w:after="60"/>
        <w:ind w:right="-45"/>
        <w:jc w:val="left"/>
        <w:rPr>
          <w:sz w:val="22"/>
          <w:szCs w:val="22"/>
        </w:rPr>
      </w:pPr>
      <w:r w:rsidRPr="0053183F">
        <w:rPr>
          <w:sz w:val="22"/>
          <w:szCs w:val="22"/>
        </w:rPr>
        <w:t>Radiocommunications Labelling (Electromagnetic Compatibility) Amendment Notice 2013 (No. 1) [F2013L00084]</w:t>
      </w:r>
    </w:p>
    <w:p w:rsidR="00EC5913" w:rsidRPr="0053183F" w:rsidRDefault="00EC5913" w:rsidP="00EC5913">
      <w:pPr>
        <w:spacing w:after="0"/>
        <w:ind w:right="-46"/>
        <w:jc w:val="left"/>
        <w:rPr>
          <w:sz w:val="22"/>
          <w:szCs w:val="22"/>
        </w:rPr>
      </w:pPr>
      <w:r w:rsidRPr="0053183F">
        <w:rPr>
          <w:sz w:val="22"/>
          <w:szCs w:val="22"/>
        </w:rPr>
        <w:t>Protected Symbols Determination 2013 [F2013L00087]</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Telecommunications Act 1997</w:t>
      </w:r>
    </w:p>
    <w:p w:rsidR="00EC5913" w:rsidRPr="0053183F" w:rsidRDefault="00EC5913" w:rsidP="00EC5913">
      <w:pPr>
        <w:spacing w:after="0"/>
        <w:ind w:right="-46"/>
        <w:jc w:val="left"/>
        <w:rPr>
          <w:sz w:val="22"/>
          <w:szCs w:val="22"/>
        </w:rPr>
      </w:pPr>
      <w:r w:rsidRPr="0053183F">
        <w:rPr>
          <w:sz w:val="22"/>
          <w:szCs w:val="22"/>
        </w:rPr>
        <w:t>Telecommunications Labelling (Customer Equipment and Customer Cabling) Amendment Notice 2013 (No. 1) [F2013L00088]</w:t>
      </w:r>
    </w:p>
    <w:p w:rsidR="00EC5913" w:rsidRPr="00C45C72" w:rsidRDefault="00EC5913" w:rsidP="003F17A2">
      <w:pPr>
        <w:pStyle w:val="Heading3"/>
        <w:tabs>
          <w:tab w:val="left" w:pos="284"/>
        </w:tabs>
        <w:spacing w:before="240" w:after="240"/>
        <w:jc w:val="center"/>
        <w:rPr>
          <w:u w:val="single"/>
        </w:rPr>
      </w:pPr>
      <w:r w:rsidRPr="00C45C72">
        <w:rPr>
          <w:u w:val="single"/>
        </w:rPr>
        <w:t xml:space="preserve">Instruments received week ending </w:t>
      </w:r>
      <w:r>
        <w:rPr>
          <w:u w:val="single"/>
        </w:rPr>
        <w:t>8 February 2013</w:t>
      </w:r>
    </w:p>
    <w:p w:rsidR="00EC5913" w:rsidRPr="0053183F" w:rsidRDefault="00EC5913" w:rsidP="003F17A2">
      <w:pPr>
        <w:spacing w:after="120"/>
        <w:ind w:right="-45"/>
        <w:rPr>
          <w:sz w:val="24"/>
          <w:szCs w:val="24"/>
        </w:rPr>
      </w:pPr>
      <w:r w:rsidRPr="0053183F">
        <w:rPr>
          <w:b/>
          <w:i/>
          <w:sz w:val="24"/>
          <w:szCs w:val="24"/>
        </w:rPr>
        <w:t>Australian Prudential Regulation Authority Act 1998</w:t>
      </w:r>
    </w:p>
    <w:p w:rsidR="00EC5913" w:rsidRPr="0053183F" w:rsidRDefault="00EC5913" w:rsidP="00EC5913">
      <w:pPr>
        <w:spacing w:after="0"/>
        <w:ind w:right="-46"/>
        <w:jc w:val="left"/>
        <w:rPr>
          <w:color w:val="000000"/>
          <w:sz w:val="22"/>
          <w:szCs w:val="22"/>
        </w:rPr>
      </w:pPr>
      <w:r w:rsidRPr="0053183F">
        <w:rPr>
          <w:color w:val="000000"/>
          <w:sz w:val="22"/>
          <w:szCs w:val="22"/>
        </w:rPr>
        <w:t>Australian Prudential Regulation Authority (confidentiality) determination No. 1 of 2013 [F2013L00115]</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Carbon Credits (Carbon Farming Initiative) Act 2011</w:t>
      </w:r>
    </w:p>
    <w:p w:rsidR="00EC5913" w:rsidRPr="0053183F" w:rsidRDefault="00EC5913" w:rsidP="00EC5913">
      <w:pPr>
        <w:ind w:right="-45"/>
        <w:jc w:val="left"/>
        <w:rPr>
          <w:color w:val="000000"/>
          <w:sz w:val="22"/>
          <w:szCs w:val="22"/>
        </w:rPr>
      </w:pPr>
      <w:r w:rsidRPr="0053183F">
        <w:rPr>
          <w:color w:val="000000"/>
          <w:sz w:val="22"/>
          <w:szCs w:val="22"/>
        </w:rPr>
        <w:t>Carbon Credits (Carbon Farming Initiative) (Destruction of Methane from Piggeries using Engineered Biodigesters) Methodology Determination 2013 [F2013L00124]</w:t>
      </w:r>
    </w:p>
    <w:p w:rsidR="00EC5913" w:rsidRPr="0053183F" w:rsidRDefault="00EC5913" w:rsidP="00EC5913">
      <w:pPr>
        <w:ind w:right="-45"/>
        <w:jc w:val="left"/>
        <w:rPr>
          <w:color w:val="000000"/>
          <w:sz w:val="22"/>
          <w:szCs w:val="22"/>
        </w:rPr>
      </w:pPr>
      <w:r w:rsidRPr="0053183F">
        <w:rPr>
          <w:color w:val="000000"/>
          <w:sz w:val="22"/>
          <w:szCs w:val="22"/>
        </w:rPr>
        <w:t>Carbon Credits (Carbon Farming Initiative) (Diversion of Legacy Waste to an Alternative Waste Treatment Facility) Methodology Determination 2013 [F2013L00161]</w:t>
      </w:r>
    </w:p>
    <w:p w:rsidR="00EC5913" w:rsidRPr="0053183F" w:rsidRDefault="00EC5913" w:rsidP="00EC5913">
      <w:pPr>
        <w:ind w:right="-45"/>
        <w:jc w:val="left"/>
        <w:rPr>
          <w:color w:val="000000"/>
          <w:sz w:val="22"/>
          <w:szCs w:val="22"/>
        </w:rPr>
      </w:pPr>
      <w:r w:rsidRPr="0053183F">
        <w:rPr>
          <w:color w:val="000000"/>
          <w:sz w:val="22"/>
          <w:szCs w:val="22"/>
        </w:rPr>
        <w:t>Carbon Credits (Carbon Farming Initiative) (Human Induced Regeneration of a Permanent Even-Aged Native Forest) Methodology Determination 2013 [F2013L00162]</w:t>
      </w:r>
    </w:p>
    <w:p w:rsidR="00EC5913" w:rsidRPr="0053183F" w:rsidRDefault="00EC5913" w:rsidP="00EC5913">
      <w:pPr>
        <w:spacing w:after="0"/>
        <w:ind w:right="-46"/>
        <w:jc w:val="left"/>
        <w:rPr>
          <w:color w:val="000000"/>
          <w:sz w:val="22"/>
          <w:szCs w:val="22"/>
        </w:rPr>
      </w:pPr>
      <w:r w:rsidRPr="0053183F">
        <w:rPr>
          <w:color w:val="000000"/>
          <w:sz w:val="22"/>
          <w:szCs w:val="22"/>
        </w:rPr>
        <w:lastRenderedPageBreak/>
        <w:t>Carbon Credits (Carbon Farming Initiative) (Reforestation and Afforestation) Methodology Determination 2013 [F2013L00123]</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Civil Aviation Act 1988</w:t>
      </w:r>
    </w:p>
    <w:p w:rsidR="00EC5913" w:rsidRPr="0053183F" w:rsidRDefault="00EC5913" w:rsidP="00EC5913">
      <w:pPr>
        <w:spacing w:after="60"/>
        <w:ind w:right="-45"/>
        <w:jc w:val="left"/>
        <w:rPr>
          <w:color w:val="000000"/>
          <w:sz w:val="22"/>
          <w:szCs w:val="22"/>
        </w:rPr>
      </w:pPr>
      <w:r w:rsidRPr="0053183F">
        <w:rPr>
          <w:color w:val="000000"/>
          <w:sz w:val="22"/>
          <w:szCs w:val="22"/>
        </w:rPr>
        <w:t>AD/CESSNA 400/119 - Airframe Life Limitation [F2013L00104]</w:t>
      </w:r>
    </w:p>
    <w:p w:rsidR="00EC5913" w:rsidRPr="0053183F" w:rsidRDefault="00EC5913" w:rsidP="00EC5913">
      <w:pPr>
        <w:spacing w:after="60"/>
        <w:ind w:right="-45"/>
        <w:jc w:val="left"/>
        <w:rPr>
          <w:color w:val="000000"/>
          <w:sz w:val="22"/>
          <w:szCs w:val="22"/>
        </w:rPr>
      </w:pPr>
      <w:r w:rsidRPr="0053183F">
        <w:rPr>
          <w:color w:val="000000"/>
          <w:sz w:val="22"/>
          <w:szCs w:val="22"/>
        </w:rPr>
        <w:t>CASA 14/13 – Instructions – GNSS as primary means of navigation for NDB and VOR (overlay) approach – Qantas Airways Limited [F2013L00157]</w:t>
      </w:r>
    </w:p>
    <w:p w:rsidR="00EC5913" w:rsidRPr="0053183F" w:rsidRDefault="00EC5913" w:rsidP="00EC5913">
      <w:pPr>
        <w:spacing w:after="60"/>
        <w:ind w:right="-45"/>
        <w:jc w:val="left"/>
        <w:rPr>
          <w:color w:val="000000"/>
          <w:sz w:val="22"/>
          <w:szCs w:val="22"/>
        </w:rPr>
      </w:pPr>
      <w:r w:rsidRPr="0053183F">
        <w:rPr>
          <w:color w:val="000000"/>
          <w:sz w:val="22"/>
          <w:szCs w:val="22"/>
        </w:rPr>
        <w:t>CASA ADCX 002/13 - Revocation of Airworthiness Directives [F2013L00106]</w:t>
      </w:r>
    </w:p>
    <w:p w:rsidR="00EC5913" w:rsidRPr="0053183F" w:rsidRDefault="00EC5913" w:rsidP="00EC5913">
      <w:pPr>
        <w:spacing w:after="60"/>
        <w:ind w:right="-45"/>
        <w:jc w:val="left"/>
        <w:rPr>
          <w:color w:val="000000"/>
          <w:sz w:val="22"/>
          <w:szCs w:val="22"/>
        </w:rPr>
      </w:pPr>
      <w:r w:rsidRPr="0053183F">
        <w:rPr>
          <w:color w:val="000000"/>
          <w:sz w:val="22"/>
          <w:szCs w:val="22"/>
        </w:rPr>
        <w:t>CASA EX180/12 - Exemption - maintenance on limited category and experimental aircraft [F2013L00096]</w:t>
      </w:r>
    </w:p>
    <w:p w:rsidR="00EC5913" w:rsidRPr="0053183F" w:rsidRDefault="00EC5913" w:rsidP="00EC5913">
      <w:pPr>
        <w:spacing w:after="60"/>
        <w:ind w:right="-45"/>
        <w:jc w:val="left"/>
        <w:rPr>
          <w:color w:val="000000"/>
          <w:sz w:val="22"/>
          <w:szCs w:val="22"/>
        </w:rPr>
      </w:pPr>
      <w:r w:rsidRPr="0053183F">
        <w:rPr>
          <w:color w:val="000000"/>
          <w:sz w:val="22"/>
          <w:szCs w:val="22"/>
        </w:rPr>
        <w:t>CASA EX01/13 - Exemption - recency requirements for night flying (Alliance Airlines Pty Limited) [F2013L00114]</w:t>
      </w:r>
    </w:p>
    <w:p w:rsidR="00EC5913" w:rsidRPr="0053183F" w:rsidRDefault="00EC5913" w:rsidP="00EC5913">
      <w:pPr>
        <w:spacing w:after="60"/>
        <w:ind w:right="-45"/>
        <w:jc w:val="left"/>
        <w:rPr>
          <w:color w:val="000000"/>
          <w:sz w:val="22"/>
          <w:szCs w:val="22"/>
        </w:rPr>
      </w:pPr>
      <w:r w:rsidRPr="0053183F">
        <w:rPr>
          <w:color w:val="000000"/>
          <w:sz w:val="22"/>
          <w:szCs w:val="22"/>
        </w:rPr>
        <w:t>CASA EX06/13 - Exemption - for cabin crew member to use passenger seat [F2013L00103]</w:t>
      </w:r>
    </w:p>
    <w:p w:rsidR="00EC5913" w:rsidRPr="0053183F" w:rsidRDefault="00EC5913" w:rsidP="00EC5913">
      <w:pPr>
        <w:spacing w:after="60"/>
        <w:ind w:right="-45"/>
        <w:jc w:val="left"/>
        <w:rPr>
          <w:color w:val="000000"/>
          <w:sz w:val="22"/>
          <w:szCs w:val="22"/>
        </w:rPr>
      </w:pPr>
      <w:r w:rsidRPr="0053183F">
        <w:rPr>
          <w:color w:val="000000"/>
          <w:sz w:val="22"/>
          <w:szCs w:val="22"/>
        </w:rPr>
        <w:t>CASA EX07/13 - Exemption - carriage of cockpit voice recorders and flight data recorders [F2013L00137]</w:t>
      </w:r>
    </w:p>
    <w:p w:rsidR="00EC5913" w:rsidRPr="0053183F" w:rsidRDefault="00EC5913" w:rsidP="00EC5913">
      <w:pPr>
        <w:spacing w:after="60"/>
        <w:ind w:right="-45"/>
        <w:jc w:val="left"/>
        <w:rPr>
          <w:color w:val="000000"/>
          <w:sz w:val="22"/>
          <w:szCs w:val="22"/>
        </w:rPr>
      </w:pPr>
      <w:r w:rsidRPr="0053183F">
        <w:rPr>
          <w:color w:val="000000"/>
          <w:sz w:val="22"/>
          <w:szCs w:val="22"/>
        </w:rPr>
        <w:t>CASA EX08/13 - Exemption - from standard take-off and landing minima - DHL Air Ltd [F2013L00145]</w:t>
      </w:r>
    </w:p>
    <w:p w:rsidR="00EC5913" w:rsidRPr="0053183F" w:rsidRDefault="00EC5913" w:rsidP="00EC5913">
      <w:pPr>
        <w:spacing w:after="0"/>
        <w:ind w:right="-46"/>
        <w:jc w:val="left"/>
        <w:rPr>
          <w:color w:val="000000"/>
          <w:sz w:val="22"/>
          <w:szCs w:val="22"/>
        </w:rPr>
      </w:pPr>
      <w:r w:rsidRPr="0053183F">
        <w:rPr>
          <w:color w:val="000000"/>
          <w:sz w:val="22"/>
          <w:szCs w:val="22"/>
        </w:rPr>
        <w:t>CASA EX09/13 - Exemption - use of ADS-B in aircraft operated Aerolineas Argentinas [F2013L00153]</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Currency Act 1965</w:t>
      </w:r>
    </w:p>
    <w:p w:rsidR="00EC5913" w:rsidRPr="0053183F" w:rsidRDefault="00EC5913" w:rsidP="00EC5913">
      <w:pPr>
        <w:spacing w:after="0"/>
        <w:ind w:right="-46"/>
        <w:jc w:val="left"/>
        <w:rPr>
          <w:color w:val="000000"/>
          <w:sz w:val="22"/>
          <w:szCs w:val="22"/>
        </w:rPr>
      </w:pPr>
      <w:r w:rsidRPr="0053183F">
        <w:rPr>
          <w:color w:val="000000"/>
          <w:sz w:val="22"/>
          <w:szCs w:val="22"/>
        </w:rPr>
        <w:t>Currency Legislation (Royal Australian Mint) Amendment Determination 2013 (No. 1) [F2013L00132]</w:t>
      </w:r>
    </w:p>
    <w:p w:rsidR="00EC5913" w:rsidRPr="0053183F" w:rsidRDefault="00EC5913" w:rsidP="00EC5913">
      <w:pPr>
        <w:spacing w:after="0"/>
        <w:ind w:right="-46"/>
        <w:rPr>
          <w:sz w:val="22"/>
          <w:szCs w:val="22"/>
        </w:rPr>
      </w:pPr>
    </w:p>
    <w:p w:rsidR="00EC5913" w:rsidRPr="0053183F" w:rsidRDefault="00EC5913" w:rsidP="003F17A2">
      <w:pPr>
        <w:spacing w:after="120"/>
        <w:ind w:right="-45"/>
        <w:rPr>
          <w:b/>
          <w:sz w:val="24"/>
          <w:szCs w:val="24"/>
        </w:rPr>
      </w:pPr>
      <w:r w:rsidRPr="0053183F">
        <w:rPr>
          <w:b/>
          <w:i/>
          <w:sz w:val="24"/>
          <w:szCs w:val="24"/>
        </w:rPr>
        <w:t>Customs Act 1901</w:t>
      </w:r>
    </w:p>
    <w:p w:rsidR="00EC5913" w:rsidRPr="0053183F" w:rsidRDefault="00EC5913" w:rsidP="00EC5913">
      <w:pPr>
        <w:spacing w:after="60"/>
        <w:ind w:right="-45"/>
        <w:jc w:val="left"/>
        <w:rPr>
          <w:color w:val="000000"/>
          <w:sz w:val="22"/>
          <w:szCs w:val="22"/>
        </w:rPr>
      </w:pPr>
      <w:r w:rsidRPr="0053183F">
        <w:rPr>
          <w:color w:val="000000"/>
          <w:sz w:val="22"/>
          <w:szCs w:val="22"/>
        </w:rPr>
        <w:t>Customs Act 1901 - Amendment of Approved Statement Instrument No. 1 of 2013 - Amendment of "Cargo Report (Air)") [F2013L00133]</w:t>
      </w:r>
    </w:p>
    <w:p w:rsidR="00EC5913" w:rsidRPr="0053183F" w:rsidRDefault="00EC5913" w:rsidP="00EC5913">
      <w:pPr>
        <w:spacing w:after="60"/>
        <w:ind w:right="-45"/>
        <w:jc w:val="left"/>
        <w:rPr>
          <w:color w:val="000000"/>
          <w:sz w:val="22"/>
          <w:szCs w:val="22"/>
        </w:rPr>
      </w:pPr>
      <w:r w:rsidRPr="0053183F">
        <w:rPr>
          <w:color w:val="000000"/>
          <w:sz w:val="22"/>
          <w:szCs w:val="22"/>
        </w:rPr>
        <w:t>Customs Act 1901 - Amendment of Approved Statement Instrument No. 2 of 2013 - Amendment of "Self-Assessed Clearance Declaration (Air) (To be Communicated with a Cargo Report)" [F2013L00134]</w:t>
      </w:r>
    </w:p>
    <w:p w:rsidR="00EC5913" w:rsidRPr="0053183F" w:rsidRDefault="00EC5913" w:rsidP="00EC5913">
      <w:pPr>
        <w:spacing w:after="60"/>
        <w:ind w:right="-45"/>
        <w:jc w:val="left"/>
        <w:rPr>
          <w:color w:val="000000"/>
          <w:sz w:val="22"/>
          <w:szCs w:val="22"/>
        </w:rPr>
      </w:pPr>
      <w:r w:rsidRPr="0053183F">
        <w:rPr>
          <w:color w:val="000000"/>
          <w:sz w:val="22"/>
          <w:szCs w:val="22"/>
        </w:rPr>
        <w:t>Customs Act 1901 - Amendment of Approved Statement Instrument No. 3 of 2013 - Amendment of "Import Declaration (N10)" [F2013L00135]</w:t>
      </w:r>
    </w:p>
    <w:p w:rsidR="00EC5913" w:rsidRPr="0053183F" w:rsidRDefault="00EC5913" w:rsidP="00EC5913">
      <w:pPr>
        <w:spacing w:after="60"/>
        <w:ind w:right="-45"/>
        <w:jc w:val="left"/>
        <w:rPr>
          <w:color w:val="000000"/>
          <w:sz w:val="22"/>
          <w:szCs w:val="22"/>
        </w:rPr>
      </w:pPr>
      <w:r w:rsidRPr="0053183F">
        <w:rPr>
          <w:color w:val="000000"/>
          <w:sz w:val="22"/>
          <w:szCs w:val="22"/>
        </w:rPr>
        <w:t>Customs Act 1901 - Amendment of Approved Statement Instrument No. 4 of 2013 - Amendment of "Warehouse Declaration (N20)" [F2013L00138]</w:t>
      </w:r>
    </w:p>
    <w:p w:rsidR="00EC5913" w:rsidRPr="0053183F" w:rsidRDefault="00EC5913" w:rsidP="00EC5913">
      <w:pPr>
        <w:spacing w:after="60"/>
        <w:ind w:right="-45"/>
        <w:jc w:val="left"/>
        <w:rPr>
          <w:color w:val="000000"/>
          <w:sz w:val="22"/>
          <w:szCs w:val="22"/>
        </w:rPr>
      </w:pPr>
      <w:r w:rsidRPr="0053183F">
        <w:rPr>
          <w:color w:val="000000"/>
          <w:sz w:val="22"/>
          <w:szCs w:val="22"/>
        </w:rPr>
        <w:t>Customs Act 1901 - Amendment of Approved Statement Instrument No. 5 of 2013 - Amendment of "SAC (Short Form)" [F2013L00139]</w:t>
      </w:r>
    </w:p>
    <w:p w:rsidR="00EC5913" w:rsidRPr="0053183F" w:rsidRDefault="00EC5913" w:rsidP="00EC5913">
      <w:pPr>
        <w:spacing w:after="0"/>
        <w:ind w:right="-46"/>
        <w:jc w:val="left"/>
        <w:rPr>
          <w:color w:val="000000"/>
          <w:sz w:val="22"/>
          <w:szCs w:val="22"/>
        </w:rPr>
      </w:pPr>
      <w:r w:rsidRPr="0053183F">
        <w:rPr>
          <w:color w:val="000000"/>
          <w:sz w:val="22"/>
          <w:szCs w:val="22"/>
        </w:rPr>
        <w:t>Customs Act 1901 - Amendment of Approved Statement Instrument No. 6 of 2013 - Amendment of "Self-Assessed Clearance Declaration (Sea) (To Be Communicated With a Cargo Report)" [F2013L00142]</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Environment Protection and Biodiversity Conservation Act 1999</w:t>
      </w:r>
    </w:p>
    <w:p w:rsidR="00EC5913" w:rsidRPr="0053183F" w:rsidRDefault="00EC5913" w:rsidP="00EC5913">
      <w:pPr>
        <w:spacing w:after="60"/>
        <w:ind w:right="-45"/>
        <w:jc w:val="left"/>
        <w:rPr>
          <w:color w:val="000000"/>
          <w:sz w:val="22"/>
          <w:szCs w:val="22"/>
        </w:rPr>
      </w:pPr>
      <w:r w:rsidRPr="0053183F">
        <w:rPr>
          <w:color w:val="000000"/>
          <w:sz w:val="22"/>
          <w:szCs w:val="22"/>
        </w:rPr>
        <w:t xml:space="preserve">Amendment of List of Exempt Native Specimens - Northern Territory Spanish </w:t>
      </w:r>
      <w:proofErr w:type="gramStart"/>
      <w:r w:rsidRPr="0053183F">
        <w:rPr>
          <w:color w:val="000000"/>
          <w:sz w:val="22"/>
          <w:szCs w:val="22"/>
        </w:rPr>
        <w:t>Mackerel</w:t>
      </w:r>
      <w:proofErr w:type="gramEnd"/>
      <w:r w:rsidRPr="0053183F">
        <w:rPr>
          <w:color w:val="000000"/>
          <w:sz w:val="22"/>
          <w:szCs w:val="22"/>
        </w:rPr>
        <w:t xml:space="preserve"> Fishery (25/01/2013) [F2013L00152]</w:t>
      </w:r>
    </w:p>
    <w:p w:rsidR="00EC5913" w:rsidRPr="0053183F" w:rsidRDefault="00EC5913" w:rsidP="00EC5913">
      <w:pPr>
        <w:spacing w:after="60"/>
        <w:ind w:right="-45"/>
        <w:jc w:val="left"/>
        <w:rPr>
          <w:color w:val="000000"/>
          <w:sz w:val="22"/>
          <w:szCs w:val="22"/>
        </w:rPr>
      </w:pPr>
      <w:r w:rsidRPr="0053183F">
        <w:rPr>
          <w:color w:val="000000"/>
          <w:sz w:val="22"/>
          <w:szCs w:val="22"/>
        </w:rPr>
        <w:t>Amendment of List of Exempt Native Specimens - Pandanus spiralis (18/12/2012) [F2013L00107]</w:t>
      </w:r>
    </w:p>
    <w:p w:rsidR="00EC5913" w:rsidRPr="0053183F" w:rsidRDefault="00EC5913" w:rsidP="00EC5913">
      <w:pPr>
        <w:spacing w:after="60"/>
        <w:ind w:right="-45"/>
        <w:jc w:val="left"/>
        <w:rPr>
          <w:color w:val="000000"/>
          <w:sz w:val="22"/>
          <w:szCs w:val="22"/>
        </w:rPr>
      </w:pPr>
      <w:r w:rsidRPr="0053183F">
        <w:rPr>
          <w:color w:val="000000"/>
          <w:sz w:val="22"/>
          <w:szCs w:val="22"/>
        </w:rPr>
        <w:t>Amendment of List of Exempt Native Specimens - Western Australian Shark Bay Prawn Managed Fishery (28/01/2013) (deletion) [F2013L00129]</w:t>
      </w:r>
    </w:p>
    <w:p w:rsidR="00EC5913" w:rsidRPr="0053183F" w:rsidRDefault="00EC5913" w:rsidP="00EC5913">
      <w:pPr>
        <w:spacing w:after="60"/>
        <w:ind w:right="-45"/>
        <w:jc w:val="left"/>
        <w:rPr>
          <w:color w:val="000000"/>
          <w:sz w:val="22"/>
          <w:szCs w:val="22"/>
        </w:rPr>
      </w:pPr>
      <w:r w:rsidRPr="0053183F">
        <w:rPr>
          <w:color w:val="000000"/>
          <w:sz w:val="22"/>
          <w:szCs w:val="22"/>
        </w:rPr>
        <w:t>Amendment of List of Exempt Native Specimens - Western Australian Shark Bay Prawn Managed Fishery (28/01/2013) (inclusion) [F2013L00128]</w:t>
      </w:r>
    </w:p>
    <w:p w:rsidR="00EC5913" w:rsidRPr="0053183F" w:rsidRDefault="00EC5913" w:rsidP="00EC5913">
      <w:pPr>
        <w:spacing w:after="60"/>
        <w:ind w:right="-45"/>
        <w:jc w:val="left"/>
        <w:rPr>
          <w:color w:val="000000"/>
          <w:sz w:val="22"/>
          <w:szCs w:val="22"/>
        </w:rPr>
      </w:pPr>
      <w:r w:rsidRPr="0053183F">
        <w:rPr>
          <w:color w:val="000000"/>
          <w:sz w:val="22"/>
          <w:szCs w:val="22"/>
        </w:rPr>
        <w:lastRenderedPageBreak/>
        <w:t>Amendment of List of Exempt Native Specimens - Western Australian Shark Bay Scallop Managed Fishery (28/01/2013) (deletion) [F2013L00127]</w:t>
      </w:r>
    </w:p>
    <w:p w:rsidR="00EC5913" w:rsidRPr="0053183F" w:rsidRDefault="00EC5913" w:rsidP="00EC5913">
      <w:pPr>
        <w:spacing w:after="60"/>
        <w:ind w:right="-45"/>
        <w:jc w:val="left"/>
        <w:rPr>
          <w:color w:val="000000"/>
          <w:sz w:val="22"/>
          <w:szCs w:val="22"/>
        </w:rPr>
      </w:pPr>
      <w:r w:rsidRPr="0053183F">
        <w:rPr>
          <w:color w:val="000000"/>
          <w:sz w:val="22"/>
          <w:szCs w:val="22"/>
        </w:rPr>
        <w:t>Amendment of List of Exempt Native Specimens - Western Australian Shark Bay Scallop Managed Fishery (28/01/2013) (inclusion) [F2013L00126]</w:t>
      </w:r>
    </w:p>
    <w:p w:rsidR="00EC5913" w:rsidRPr="0053183F" w:rsidRDefault="00EC5913" w:rsidP="00EC5913">
      <w:pPr>
        <w:spacing w:after="0"/>
        <w:ind w:right="-46"/>
        <w:jc w:val="left"/>
        <w:rPr>
          <w:color w:val="000000"/>
          <w:sz w:val="22"/>
          <w:szCs w:val="22"/>
        </w:rPr>
      </w:pPr>
      <w:r w:rsidRPr="0053183F">
        <w:rPr>
          <w:color w:val="000000"/>
          <w:sz w:val="22"/>
          <w:szCs w:val="22"/>
        </w:rPr>
        <w:t>Amendment - List of Specimens Taken to be suitable for Live Import (03/01/2013) [F2013L00105]</w:t>
      </w:r>
    </w:p>
    <w:p w:rsidR="00EC5913" w:rsidRPr="0053183F" w:rsidRDefault="00EC5913" w:rsidP="00EC5913">
      <w:pPr>
        <w:spacing w:after="0"/>
        <w:ind w:right="-46"/>
        <w:rPr>
          <w:sz w:val="22"/>
          <w:szCs w:val="22"/>
        </w:rPr>
      </w:pPr>
    </w:p>
    <w:p w:rsidR="00EC5913" w:rsidRPr="0053183F" w:rsidRDefault="00EC5913" w:rsidP="003F17A2">
      <w:pPr>
        <w:spacing w:after="120"/>
        <w:ind w:right="-45"/>
        <w:rPr>
          <w:b/>
          <w:sz w:val="24"/>
          <w:szCs w:val="24"/>
        </w:rPr>
      </w:pPr>
      <w:r w:rsidRPr="0053183F">
        <w:rPr>
          <w:b/>
          <w:i/>
          <w:sz w:val="24"/>
          <w:szCs w:val="24"/>
        </w:rPr>
        <w:t>Fair Work (Building Industry) Act 2012</w:t>
      </w:r>
    </w:p>
    <w:p w:rsidR="00EC5913" w:rsidRPr="0053183F" w:rsidRDefault="00EC5913" w:rsidP="00EC5913">
      <w:pPr>
        <w:spacing w:after="0"/>
        <w:ind w:right="-46"/>
        <w:jc w:val="left"/>
        <w:rPr>
          <w:color w:val="000000"/>
          <w:sz w:val="22"/>
          <w:szCs w:val="22"/>
        </w:rPr>
      </w:pPr>
      <w:r w:rsidRPr="0053183F">
        <w:rPr>
          <w:color w:val="000000"/>
          <w:sz w:val="22"/>
          <w:szCs w:val="22"/>
        </w:rPr>
        <w:t>Building Code 2013 [F2013L00130]</w:t>
      </w:r>
    </w:p>
    <w:p w:rsidR="00EC5913" w:rsidRPr="0053183F" w:rsidRDefault="00EC5913" w:rsidP="00EC5913">
      <w:pPr>
        <w:spacing w:after="0"/>
        <w:ind w:right="-46"/>
        <w:rPr>
          <w:sz w:val="22"/>
          <w:szCs w:val="22"/>
        </w:rPr>
      </w:pPr>
    </w:p>
    <w:p w:rsidR="00EC5913" w:rsidRPr="0053183F" w:rsidRDefault="00EC5913" w:rsidP="003F17A2">
      <w:pPr>
        <w:spacing w:after="120"/>
        <w:ind w:right="-45"/>
        <w:rPr>
          <w:i/>
          <w:sz w:val="24"/>
          <w:szCs w:val="24"/>
        </w:rPr>
      </w:pPr>
      <w:r w:rsidRPr="0053183F">
        <w:rPr>
          <w:b/>
          <w:i/>
          <w:sz w:val="24"/>
          <w:szCs w:val="24"/>
        </w:rPr>
        <w:t>Financial Sector (Collection of Data) Act 2001</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10 of 2013 - GRS 115.0 - Outstanding Claims Liabilities - Insurance Risk Charge [F2013L00109]</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13 of 2013 - GRS 116.1 - Probable Maximum Loss for LMIs [F2013L00110]</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14 of 2013 - GRS 117.0 - Asset Concentration Risk Charge [F2013L00136]</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33 of 2013 - GRS 115.0_G - Outstanding Claims Liabilities - Insurance Risk Charge (Level 2 Insurance Group) [F2013L00097]</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34 of 2013 - GRS 115.1_G - Premiums Liabilities - Insurance Risk Charge (Level 2 Insurance Group) [F2013L00098]</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36 of 2013 - GRS 117.0_G - Asset Concentration Risk Charge (Level 2 Insurance Group) [F2013L00099]</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39 of 2013 - GRS 302.0_G - Statement of Financial Position by Region (Level 2 Insurance Group) [F2013L00101]</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40 of 2013 - GRS 310.0_G - Income Statement (Level 2 Insurance Group) [F2013L00102]</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41 of 2013 - GRS 141.0_G (2009) - Listed Equity Holdings and Risk Charge; GRS 301.0_G (2011) - Reinsurance Assets and Risk Charge (Level 2 Insurance Group) [F2013L00119]</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42 of 2013 - LRS 001 - Reporting Requirements [F2013L00120]</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43 of 2013 - LRS 110.1 - Prescribed Capital Amount [F2013L00113]</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53 of 2013 - LRS 300.0 - Statement of Financial Position [F2013L00121]</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54 of 2013 - LRS 310.0 - Income Statement [F2013L00140]</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55 of 2013 - LRS 330.0 - Summary of Revenue and Expenses [F2013L00141]</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56 of 2013 - LRS 340.0 - Retained Profits [F2013L00148]</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57 of 2013 - LRS 400.0 - Statement of Policy Liabilities [F2013L00111]</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58 of 2013 - LRS 420.0 - Assets Backing Policy Liabilities [F2013L00122]</w:t>
      </w:r>
    </w:p>
    <w:p w:rsidR="00EC5913" w:rsidRPr="0053183F" w:rsidRDefault="00EC5913" w:rsidP="00EC5913">
      <w:pPr>
        <w:spacing w:after="60"/>
        <w:ind w:right="-45"/>
        <w:jc w:val="left"/>
        <w:rPr>
          <w:color w:val="000000"/>
          <w:sz w:val="22"/>
          <w:szCs w:val="22"/>
        </w:rPr>
      </w:pPr>
      <w:r w:rsidRPr="0053183F">
        <w:rPr>
          <w:color w:val="000000"/>
          <w:sz w:val="22"/>
          <w:szCs w:val="22"/>
        </w:rPr>
        <w:t>Financial Sector (Collection of Data) (reporting standard) determination No. 59 of 2013 - LRS 430.0 - Sources of Profit [F2013L00149]</w:t>
      </w:r>
    </w:p>
    <w:p w:rsidR="00EC5913" w:rsidRPr="0053183F" w:rsidRDefault="00EC5913" w:rsidP="00EC5913">
      <w:pPr>
        <w:spacing w:after="0"/>
        <w:ind w:right="-46"/>
        <w:jc w:val="left"/>
        <w:rPr>
          <w:color w:val="000000"/>
          <w:sz w:val="22"/>
          <w:szCs w:val="22"/>
        </w:rPr>
      </w:pPr>
      <w:r w:rsidRPr="0053183F">
        <w:rPr>
          <w:color w:val="000000"/>
          <w:sz w:val="22"/>
          <w:szCs w:val="22"/>
        </w:rPr>
        <w:lastRenderedPageBreak/>
        <w:t>Financial Sector (Collection of Data) (reporting standard) determination No. 60 of 2013 - LRS 100.0 - Solvency; LRS 120.0 - Management Capital; LRS 210.0 - Derivatives, Commitments and Off-Balance Sheet Items; LRS 220.0 - Large Exposures; LRS 410.0 - Capital Measurement Statistics; LRS 901 - Transitional Arrangements 2008 [F2013L00150]</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Fisheries Management Act 1991</w:t>
      </w:r>
    </w:p>
    <w:p w:rsidR="00EC5913" w:rsidRPr="0053183F" w:rsidRDefault="00EC5913" w:rsidP="00EC5913">
      <w:pPr>
        <w:spacing w:after="60"/>
        <w:ind w:right="-45"/>
        <w:jc w:val="left"/>
        <w:rPr>
          <w:color w:val="000000"/>
          <w:sz w:val="22"/>
          <w:szCs w:val="22"/>
        </w:rPr>
      </w:pPr>
      <w:r w:rsidRPr="0053183F">
        <w:rPr>
          <w:color w:val="000000"/>
          <w:sz w:val="22"/>
          <w:szCs w:val="22"/>
        </w:rPr>
        <w:t>2013 Eastern Tuna and Billfish Fishery Total Allowable Commercial Catch Determination [F2013L00131]</w:t>
      </w:r>
    </w:p>
    <w:p w:rsidR="00EC5913" w:rsidRPr="0053183F" w:rsidRDefault="00EC5913" w:rsidP="00EC5913">
      <w:pPr>
        <w:spacing w:after="60"/>
        <w:ind w:right="-45"/>
        <w:jc w:val="left"/>
        <w:rPr>
          <w:sz w:val="22"/>
          <w:szCs w:val="22"/>
        </w:rPr>
      </w:pPr>
      <w:r w:rsidRPr="0053183F">
        <w:rPr>
          <w:sz w:val="22"/>
          <w:szCs w:val="22"/>
        </w:rPr>
        <w:t>Macquarie Island Toothfish Fishery Fishing Year Determination 2013 [F2013L00156]</w:t>
      </w:r>
    </w:p>
    <w:p w:rsidR="00EC5913" w:rsidRPr="0053183F" w:rsidRDefault="00EC5913" w:rsidP="00EC5913">
      <w:pPr>
        <w:spacing w:after="60"/>
        <w:ind w:right="-45"/>
        <w:jc w:val="left"/>
        <w:rPr>
          <w:color w:val="000000"/>
          <w:sz w:val="22"/>
          <w:szCs w:val="22"/>
        </w:rPr>
      </w:pPr>
      <w:r w:rsidRPr="0053183F">
        <w:rPr>
          <w:color w:val="000000"/>
          <w:sz w:val="22"/>
          <w:szCs w:val="22"/>
        </w:rPr>
        <w:t>Macquarie Island Toothfish Fishery Management Plan Amendment 2012 [F2013L00118]</w:t>
      </w:r>
    </w:p>
    <w:p w:rsidR="00EC5913" w:rsidRPr="0053183F" w:rsidRDefault="00EC5913" w:rsidP="00EC5913">
      <w:pPr>
        <w:spacing w:after="60"/>
        <w:ind w:right="-45"/>
        <w:jc w:val="left"/>
        <w:rPr>
          <w:sz w:val="22"/>
          <w:szCs w:val="22"/>
        </w:rPr>
      </w:pPr>
      <w:r w:rsidRPr="0053183F">
        <w:rPr>
          <w:sz w:val="22"/>
          <w:szCs w:val="22"/>
        </w:rPr>
        <w:t>Southern and Eastern Scalefish and Shark Fishery (Closures) Direction No. 1 2013 [F2013L00168]</w:t>
      </w:r>
    </w:p>
    <w:p w:rsidR="00EC5913" w:rsidRPr="0053183F" w:rsidRDefault="00EC5913" w:rsidP="00EC5913">
      <w:pPr>
        <w:spacing w:after="0"/>
        <w:ind w:right="-46"/>
        <w:jc w:val="left"/>
        <w:rPr>
          <w:sz w:val="22"/>
          <w:szCs w:val="22"/>
        </w:rPr>
      </w:pPr>
      <w:r w:rsidRPr="0053183F">
        <w:rPr>
          <w:sz w:val="22"/>
          <w:szCs w:val="22"/>
        </w:rPr>
        <w:t>Southern and Eastern Scalefish and Shark Fishery (Closures) Direction No. 3 2013 [F2013L00166]</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Higher Education Support Act 2003</w:t>
      </w:r>
    </w:p>
    <w:p w:rsidR="00EC5913" w:rsidRPr="0053183F" w:rsidRDefault="00EC5913" w:rsidP="00EC5913">
      <w:pPr>
        <w:spacing w:after="60"/>
        <w:ind w:right="-45"/>
        <w:jc w:val="left"/>
        <w:rPr>
          <w:color w:val="000000"/>
          <w:sz w:val="22"/>
          <w:szCs w:val="22"/>
        </w:rPr>
      </w:pPr>
      <w:r w:rsidRPr="0053183F">
        <w:rPr>
          <w:color w:val="000000"/>
          <w:sz w:val="22"/>
          <w:szCs w:val="22"/>
        </w:rPr>
        <w:t>Higher Education Support Act 2003 - VET Provider Approval (No. 4 of 2013) [F2013L00143]</w:t>
      </w:r>
    </w:p>
    <w:p w:rsidR="00EC5913" w:rsidRPr="0053183F" w:rsidRDefault="00EC5913" w:rsidP="00EC5913">
      <w:pPr>
        <w:spacing w:after="0"/>
        <w:ind w:right="-46"/>
        <w:jc w:val="left"/>
        <w:rPr>
          <w:color w:val="000000"/>
          <w:sz w:val="22"/>
          <w:szCs w:val="22"/>
        </w:rPr>
      </w:pPr>
      <w:r w:rsidRPr="0053183F">
        <w:rPr>
          <w:color w:val="000000"/>
          <w:sz w:val="22"/>
          <w:szCs w:val="22"/>
        </w:rPr>
        <w:t>Higher Education Support Act 2003 - VET Provider Approval (No. 5 of 2013) [F2013L00144]</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Medical Indemnity Act 2002</w:t>
      </w:r>
    </w:p>
    <w:p w:rsidR="00EC5913" w:rsidRPr="0053183F" w:rsidRDefault="00EC5913" w:rsidP="00EC5913">
      <w:pPr>
        <w:spacing w:after="0"/>
        <w:ind w:right="-46"/>
        <w:jc w:val="left"/>
        <w:rPr>
          <w:sz w:val="22"/>
          <w:szCs w:val="22"/>
        </w:rPr>
      </w:pPr>
      <w:r w:rsidRPr="0053183F">
        <w:rPr>
          <w:sz w:val="22"/>
          <w:szCs w:val="22"/>
        </w:rPr>
        <w:t>Medical Indemnity (Run-off Cover Claims and Administration) Amendment Protocol 2013 [F2013L00154]</w:t>
      </w:r>
    </w:p>
    <w:p w:rsidR="00EC5913" w:rsidRPr="0053183F" w:rsidRDefault="00EC5913" w:rsidP="00EC5913">
      <w:pPr>
        <w:spacing w:after="0"/>
        <w:ind w:right="-46"/>
        <w:rPr>
          <w:sz w:val="22"/>
          <w:szCs w:val="22"/>
        </w:rPr>
      </w:pPr>
    </w:p>
    <w:p w:rsidR="00EC5913" w:rsidRPr="0053183F" w:rsidRDefault="00EC5913" w:rsidP="003F17A2">
      <w:pPr>
        <w:spacing w:after="120"/>
        <w:ind w:right="-45"/>
        <w:rPr>
          <w:sz w:val="24"/>
          <w:szCs w:val="24"/>
        </w:rPr>
      </w:pPr>
      <w:r w:rsidRPr="0053183F">
        <w:rPr>
          <w:b/>
          <w:i/>
          <w:sz w:val="24"/>
          <w:szCs w:val="24"/>
        </w:rPr>
        <w:t>Private Health Insurance Act 2007</w:t>
      </w:r>
    </w:p>
    <w:p w:rsidR="00EC5913" w:rsidRPr="0053183F" w:rsidRDefault="00EC5913" w:rsidP="00EC5913">
      <w:pPr>
        <w:spacing w:after="0"/>
        <w:ind w:right="-46"/>
        <w:jc w:val="left"/>
        <w:rPr>
          <w:color w:val="000000"/>
          <w:sz w:val="24"/>
          <w:szCs w:val="24"/>
        </w:rPr>
      </w:pPr>
      <w:r w:rsidRPr="0053183F">
        <w:rPr>
          <w:color w:val="000000"/>
          <w:sz w:val="24"/>
          <w:szCs w:val="24"/>
        </w:rPr>
        <w:t>Private Health Insurance (Registration) Amendment Rules 2013 [F2013L00151]</w:t>
      </w:r>
    </w:p>
    <w:p w:rsidR="00EC5913" w:rsidRPr="0053183F" w:rsidRDefault="00EC5913" w:rsidP="00EC5913">
      <w:pPr>
        <w:spacing w:after="0"/>
        <w:ind w:right="-46"/>
        <w:rPr>
          <w:sz w:val="24"/>
          <w:szCs w:val="24"/>
        </w:rPr>
      </w:pPr>
    </w:p>
    <w:p w:rsidR="00EC5913" w:rsidRPr="0053183F" w:rsidRDefault="00EC5913" w:rsidP="003F17A2">
      <w:pPr>
        <w:spacing w:after="120"/>
        <w:ind w:right="-45"/>
        <w:rPr>
          <w:b/>
          <w:i/>
          <w:sz w:val="24"/>
          <w:szCs w:val="24"/>
        </w:rPr>
      </w:pPr>
      <w:r w:rsidRPr="0053183F">
        <w:rPr>
          <w:b/>
          <w:i/>
          <w:sz w:val="24"/>
          <w:szCs w:val="24"/>
        </w:rPr>
        <w:t>Quarantine Act 1908</w:t>
      </w:r>
    </w:p>
    <w:p w:rsidR="00EC5913" w:rsidRPr="0053183F" w:rsidRDefault="00EC5913" w:rsidP="00EC5913">
      <w:pPr>
        <w:spacing w:after="0"/>
        <w:ind w:right="-46"/>
        <w:jc w:val="left"/>
        <w:rPr>
          <w:color w:val="000000"/>
          <w:sz w:val="22"/>
          <w:szCs w:val="22"/>
        </w:rPr>
      </w:pPr>
      <w:r w:rsidRPr="0053183F">
        <w:rPr>
          <w:color w:val="000000"/>
          <w:sz w:val="22"/>
          <w:szCs w:val="22"/>
        </w:rPr>
        <w:t>Quarantine Service Fees Amendment Determination 2013 (No. 1) [F2013L00125]</w:t>
      </w:r>
    </w:p>
    <w:p w:rsidR="00EC5913" w:rsidRPr="0053183F"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Radiocommunications Act 1992</w:t>
      </w:r>
    </w:p>
    <w:p w:rsidR="00EC5913" w:rsidRPr="00D56317" w:rsidRDefault="00EC5913" w:rsidP="00EC5913">
      <w:pPr>
        <w:spacing w:after="0"/>
        <w:ind w:right="-46"/>
        <w:jc w:val="left"/>
        <w:rPr>
          <w:sz w:val="22"/>
          <w:szCs w:val="22"/>
        </w:rPr>
      </w:pPr>
      <w:r w:rsidRPr="00D56317">
        <w:rPr>
          <w:sz w:val="22"/>
          <w:szCs w:val="22"/>
        </w:rPr>
        <w:t>Radiocommunications (Unacceptable Levels of Interference – 700 MHz Band) Amendment Determination 2013 (No. 1) [F2013L00159]</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Remuneration Tribunal Act 1973</w:t>
      </w:r>
    </w:p>
    <w:p w:rsidR="00EC5913" w:rsidRPr="00D56317" w:rsidRDefault="00EC5913" w:rsidP="00EC5913">
      <w:pPr>
        <w:spacing w:after="0"/>
        <w:ind w:right="-46"/>
        <w:jc w:val="left"/>
        <w:rPr>
          <w:color w:val="000000"/>
          <w:sz w:val="22"/>
          <w:szCs w:val="22"/>
        </w:rPr>
      </w:pPr>
      <w:r w:rsidRPr="00D56317">
        <w:rPr>
          <w:color w:val="000000"/>
          <w:sz w:val="22"/>
          <w:szCs w:val="22"/>
        </w:rPr>
        <w:t>Remuneration Tribunal Determination 2013/01 - Remuneration and Allowances for Holders of Public Office [F2013L00100]</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Social Security Act 1991</w:t>
      </w:r>
    </w:p>
    <w:p w:rsidR="00EC5913" w:rsidRPr="00D56317" w:rsidRDefault="00EC5913" w:rsidP="00EC5913">
      <w:pPr>
        <w:spacing w:after="0"/>
        <w:ind w:right="-46"/>
        <w:jc w:val="left"/>
        <w:rPr>
          <w:color w:val="000000"/>
          <w:sz w:val="22"/>
          <w:szCs w:val="22"/>
        </w:rPr>
      </w:pPr>
      <w:r w:rsidRPr="00D56317">
        <w:rPr>
          <w:color w:val="000000"/>
          <w:sz w:val="22"/>
          <w:szCs w:val="22"/>
        </w:rPr>
        <w:t>Social Security (South Australian 'Individualised Funding') (FaHCSIA) Determination 2013 [F2013L00116]</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Telecommunications Universal Service Management Agency Act 2012</w:t>
      </w:r>
    </w:p>
    <w:p w:rsidR="00EC5913" w:rsidRPr="00D56317" w:rsidRDefault="00EC5913" w:rsidP="00EC5913">
      <w:pPr>
        <w:spacing w:after="60"/>
        <w:ind w:right="-45"/>
        <w:jc w:val="left"/>
        <w:rPr>
          <w:sz w:val="22"/>
          <w:szCs w:val="22"/>
        </w:rPr>
      </w:pPr>
      <w:r w:rsidRPr="00D56317">
        <w:rPr>
          <w:sz w:val="22"/>
          <w:szCs w:val="22"/>
        </w:rPr>
        <w:t>Levy Amount Formula Modification Determination 2013 [F2013L00158]</w:t>
      </w:r>
    </w:p>
    <w:p w:rsidR="00EC5913" w:rsidRPr="00D56317" w:rsidRDefault="00EC5913" w:rsidP="00EC5913">
      <w:pPr>
        <w:spacing w:after="0"/>
        <w:ind w:right="-46"/>
        <w:jc w:val="left"/>
        <w:rPr>
          <w:sz w:val="22"/>
          <w:szCs w:val="22"/>
        </w:rPr>
      </w:pPr>
      <w:r w:rsidRPr="00D56317">
        <w:rPr>
          <w:sz w:val="22"/>
          <w:szCs w:val="22"/>
        </w:rPr>
        <w:t>Telecommunications (Participating Persons) Determination 2013 [F2013L00155]</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Therapeutic Goods Act 1989</w:t>
      </w:r>
    </w:p>
    <w:p w:rsidR="00EC5913" w:rsidRPr="00D56317" w:rsidRDefault="00EC5913" w:rsidP="00EC5913">
      <w:pPr>
        <w:spacing w:after="0"/>
        <w:ind w:right="-46"/>
        <w:jc w:val="left"/>
        <w:rPr>
          <w:color w:val="000000"/>
          <w:sz w:val="22"/>
          <w:szCs w:val="22"/>
        </w:rPr>
      </w:pPr>
      <w:r w:rsidRPr="00D56317">
        <w:rPr>
          <w:color w:val="000000"/>
          <w:sz w:val="22"/>
          <w:szCs w:val="22"/>
        </w:rPr>
        <w:t>Therapeutic Goods Information (Stakeholder Consultation on the System for Australian Recall Actions) Specification 2013 [F2013L00117]</w:t>
      </w:r>
    </w:p>
    <w:p w:rsidR="00EC5913" w:rsidRPr="00C45C72" w:rsidRDefault="00EC5913" w:rsidP="00EC5913">
      <w:pPr>
        <w:pStyle w:val="Heading3"/>
        <w:tabs>
          <w:tab w:val="left" w:pos="284"/>
        </w:tabs>
        <w:spacing w:before="360" w:after="360"/>
        <w:jc w:val="center"/>
        <w:rPr>
          <w:u w:val="single"/>
        </w:rPr>
      </w:pPr>
      <w:r w:rsidRPr="00C45C72">
        <w:rPr>
          <w:u w:val="single"/>
        </w:rPr>
        <w:lastRenderedPageBreak/>
        <w:t xml:space="preserve">Instruments received week ending </w:t>
      </w:r>
      <w:r>
        <w:rPr>
          <w:u w:val="single"/>
        </w:rPr>
        <w:t>15 February 2013</w:t>
      </w:r>
    </w:p>
    <w:p w:rsidR="00EC5913" w:rsidRPr="00D56317" w:rsidRDefault="00EC5913" w:rsidP="003F17A2">
      <w:pPr>
        <w:spacing w:after="120"/>
        <w:ind w:right="-45"/>
        <w:rPr>
          <w:sz w:val="24"/>
          <w:szCs w:val="24"/>
        </w:rPr>
      </w:pPr>
      <w:r w:rsidRPr="00D56317">
        <w:rPr>
          <w:b/>
          <w:i/>
          <w:sz w:val="24"/>
          <w:szCs w:val="24"/>
        </w:rPr>
        <w:t>Civil Aviation Act 1988</w:t>
      </w:r>
    </w:p>
    <w:p w:rsidR="00EC5913" w:rsidRPr="00D56317" w:rsidRDefault="00EC5913" w:rsidP="00EC5913">
      <w:pPr>
        <w:spacing w:after="0"/>
        <w:ind w:right="-46"/>
        <w:jc w:val="left"/>
        <w:rPr>
          <w:sz w:val="22"/>
          <w:szCs w:val="22"/>
        </w:rPr>
      </w:pPr>
      <w:r w:rsidRPr="00D56317">
        <w:rPr>
          <w:sz w:val="22"/>
          <w:szCs w:val="22"/>
        </w:rPr>
        <w:t>AD/LYC/105 Amdt 2 – Oil Filter Converter Plate Gasket [F2013L00175]</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Defence Act 1903</w:t>
      </w:r>
    </w:p>
    <w:p w:rsidR="00EC5913" w:rsidRPr="00D56317" w:rsidRDefault="00EC5913" w:rsidP="00EC5913">
      <w:pPr>
        <w:spacing w:after="60"/>
        <w:ind w:right="-45"/>
        <w:jc w:val="left"/>
        <w:rPr>
          <w:sz w:val="22"/>
          <w:szCs w:val="22"/>
        </w:rPr>
      </w:pPr>
      <w:r w:rsidRPr="00D56317">
        <w:rPr>
          <w:sz w:val="22"/>
          <w:szCs w:val="22"/>
        </w:rPr>
        <w:t>Defence Determination 2013/3, Review of housing contributions and allowances – amendment</w:t>
      </w:r>
    </w:p>
    <w:p w:rsidR="00EC5913" w:rsidRPr="00D56317" w:rsidRDefault="00EC5913" w:rsidP="00EC5913">
      <w:pPr>
        <w:spacing w:after="60"/>
        <w:ind w:right="-45"/>
        <w:jc w:val="left"/>
        <w:rPr>
          <w:sz w:val="22"/>
          <w:szCs w:val="22"/>
        </w:rPr>
      </w:pPr>
      <w:r w:rsidRPr="00D56317">
        <w:rPr>
          <w:sz w:val="22"/>
          <w:szCs w:val="22"/>
        </w:rPr>
        <w:t>Defence Determination 2013/4, Living-in accommodation – amendment</w:t>
      </w:r>
    </w:p>
    <w:p w:rsidR="00EC5913" w:rsidRPr="00D56317" w:rsidRDefault="00EC5913" w:rsidP="00EC5913">
      <w:pPr>
        <w:spacing w:after="60"/>
        <w:ind w:right="-45"/>
        <w:jc w:val="left"/>
        <w:rPr>
          <w:sz w:val="22"/>
          <w:szCs w:val="22"/>
        </w:rPr>
      </w:pPr>
      <w:r w:rsidRPr="00D56317">
        <w:rPr>
          <w:sz w:val="22"/>
          <w:szCs w:val="22"/>
        </w:rPr>
        <w:t>Defence Determination 2013/5, Rent ceilings – amendment</w:t>
      </w:r>
    </w:p>
    <w:p w:rsidR="00EC5913" w:rsidRPr="00D56317" w:rsidRDefault="00EC5913" w:rsidP="00EC5913">
      <w:pPr>
        <w:spacing w:after="0"/>
        <w:ind w:right="-46"/>
        <w:jc w:val="left"/>
        <w:rPr>
          <w:sz w:val="22"/>
          <w:szCs w:val="22"/>
        </w:rPr>
      </w:pPr>
      <w:r w:rsidRPr="00D56317">
        <w:rPr>
          <w:sz w:val="22"/>
          <w:szCs w:val="22"/>
        </w:rPr>
        <w:t>Defence Determination 2013/6, Post indexes – amendment</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Environment Protection and Biodiversity Conservation Act 1999</w:t>
      </w:r>
    </w:p>
    <w:p w:rsidR="00EC5913" w:rsidRPr="00D56317" w:rsidRDefault="00EC5913" w:rsidP="00EC5913">
      <w:pPr>
        <w:spacing w:after="0"/>
        <w:ind w:right="-46"/>
        <w:jc w:val="left"/>
        <w:rPr>
          <w:sz w:val="22"/>
          <w:szCs w:val="22"/>
        </w:rPr>
      </w:pPr>
      <w:r w:rsidRPr="00D56317">
        <w:rPr>
          <w:sz w:val="22"/>
          <w:szCs w:val="22"/>
        </w:rPr>
        <w:t>Amendment of List of Exempt Native Specimens – Western Australian Exmouth Gulf Prawn Managed Fishery (04/02/2013) [F2013L00171]</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Fisheries Management Act 1991</w:t>
      </w:r>
    </w:p>
    <w:p w:rsidR="00EC5913" w:rsidRPr="00D56317" w:rsidRDefault="00EC5913" w:rsidP="00EC5913">
      <w:pPr>
        <w:spacing w:after="60"/>
        <w:ind w:right="-45"/>
        <w:jc w:val="left"/>
        <w:rPr>
          <w:sz w:val="22"/>
          <w:szCs w:val="22"/>
        </w:rPr>
      </w:pPr>
      <w:r w:rsidRPr="00D56317">
        <w:rPr>
          <w:sz w:val="22"/>
          <w:szCs w:val="22"/>
        </w:rPr>
        <w:t>Southern and Eastern Scalefish and Shark Fishery (Closures) Direction No. 2 2013 [F2013L00169]</w:t>
      </w:r>
    </w:p>
    <w:p w:rsidR="00EC5913" w:rsidRPr="00D56317" w:rsidRDefault="00EC5913" w:rsidP="00EC5913">
      <w:pPr>
        <w:spacing w:after="0"/>
        <w:ind w:right="-46"/>
        <w:jc w:val="left"/>
        <w:rPr>
          <w:sz w:val="22"/>
          <w:szCs w:val="22"/>
        </w:rPr>
      </w:pPr>
      <w:r w:rsidRPr="00D56317">
        <w:rPr>
          <w:sz w:val="22"/>
          <w:szCs w:val="22"/>
        </w:rPr>
        <w:t>Southern and Eastern Scalefish and Shark Fishery (Closures) Direction No. 4 2013 [F2013L00170]</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Military Rehabilitation and Compensation Act 2004</w:t>
      </w:r>
    </w:p>
    <w:p w:rsidR="00EC5913" w:rsidRPr="00D56317" w:rsidRDefault="00EC5913" w:rsidP="00EC5913">
      <w:pPr>
        <w:spacing w:after="0"/>
        <w:ind w:right="-46"/>
        <w:jc w:val="left"/>
        <w:rPr>
          <w:sz w:val="22"/>
          <w:szCs w:val="22"/>
        </w:rPr>
      </w:pPr>
      <w:proofErr w:type="gramStart"/>
      <w:r w:rsidRPr="00D56317">
        <w:rPr>
          <w:sz w:val="22"/>
          <w:szCs w:val="22"/>
        </w:rPr>
        <w:t>Military Rehabilitation and Compensation Act Education and Training Scheme (Income Support Bonus) Determination 2013 (No.</w:t>
      </w:r>
      <w:proofErr w:type="gramEnd"/>
      <w:r w:rsidRPr="00D56317">
        <w:rPr>
          <w:sz w:val="22"/>
          <w:szCs w:val="22"/>
        </w:rPr>
        <w:t xml:space="preserve"> MRCC 10) [F2013L00176]</w:t>
      </w:r>
    </w:p>
    <w:p w:rsidR="00EC5913" w:rsidRPr="00D56317" w:rsidRDefault="00EC5913" w:rsidP="00EC5913">
      <w:pPr>
        <w:spacing w:after="0"/>
        <w:ind w:right="-46"/>
        <w:rPr>
          <w:sz w:val="22"/>
          <w:szCs w:val="22"/>
        </w:rPr>
      </w:pPr>
    </w:p>
    <w:p w:rsidR="00EC5913" w:rsidRPr="00D56317" w:rsidRDefault="00EC5913" w:rsidP="003F17A2">
      <w:pPr>
        <w:spacing w:after="120"/>
        <w:ind w:right="-45"/>
        <w:rPr>
          <w:b/>
          <w:i/>
          <w:sz w:val="24"/>
          <w:szCs w:val="24"/>
        </w:rPr>
      </w:pPr>
      <w:r w:rsidRPr="00D56317">
        <w:rPr>
          <w:b/>
          <w:i/>
          <w:sz w:val="24"/>
          <w:szCs w:val="24"/>
        </w:rPr>
        <w:t xml:space="preserve">Social and Community Services Pay Equity Special Account Act 2012 </w:t>
      </w:r>
    </w:p>
    <w:p w:rsidR="00EC5913" w:rsidRPr="00D56317" w:rsidRDefault="00EC5913" w:rsidP="00EC5913">
      <w:pPr>
        <w:spacing w:after="0"/>
        <w:ind w:right="-46"/>
        <w:rPr>
          <w:sz w:val="22"/>
          <w:szCs w:val="22"/>
        </w:rPr>
      </w:pPr>
      <w:r w:rsidRPr="00D56317">
        <w:rPr>
          <w:sz w:val="22"/>
          <w:szCs w:val="22"/>
        </w:rPr>
        <w:t>Social and Community Services Pay Equity Special Account (Additional Program) Specification 2013 [F2013L00179]</w:t>
      </w:r>
    </w:p>
    <w:p w:rsidR="00EC5913" w:rsidRPr="00D56317" w:rsidRDefault="00EC5913" w:rsidP="00EC5913">
      <w:pPr>
        <w:spacing w:after="0"/>
        <w:ind w:right="-46"/>
        <w:rPr>
          <w:sz w:val="22"/>
          <w:szCs w:val="22"/>
        </w:rPr>
      </w:pPr>
    </w:p>
    <w:p w:rsidR="00EC5913" w:rsidRPr="00D56317" w:rsidRDefault="00EC5913" w:rsidP="003F17A2">
      <w:pPr>
        <w:spacing w:after="120"/>
        <w:ind w:right="-45"/>
        <w:rPr>
          <w:sz w:val="24"/>
          <w:szCs w:val="24"/>
        </w:rPr>
      </w:pPr>
      <w:r w:rsidRPr="00D56317">
        <w:rPr>
          <w:b/>
          <w:i/>
          <w:sz w:val="24"/>
          <w:szCs w:val="24"/>
        </w:rPr>
        <w:t>Veterans' Entitlements Act 1986</w:t>
      </w:r>
    </w:p>
    <w:p w:rsidR="00EC5913" w:rsidRPr="00D56317" w:rsidRDefault="00EC5913" w:rsidP="00EC5913">
      <w:pPr>
        <w:spacing w:after="0"/>
        <w:ind w:right="-46"/>
        <w:jc w:val="left"/>
        <w:rPr>
          <w:sz w:val="22"/>
          <w:szCs w:val="22"/>
        </w:rPr>
      </w:pPr>
      <w:proofErr w:type="gramStart"/>
      <w:r w:rsidRPr="00D56317">
        <w:rPr>
          <w:sz w:val="22"/>
          <w:szCs w:val="22"/>
        </w:rPr>
        <w:t>Veterans' Entitlements (Veterans' Children Education Scheme – Income Support Bonus) Instrument 2013 (No.</w:t>
      </w:r>
      <w:proofErr w:type="gramEnd"/>
      <w:r w:rsidRPr="00D56317">
        <w:rPr>
          <w:sz w:val="22"/>
          <w:szCs w:val="22"/>
        </w:rPr>
        <w:t xml:space="preserve"> R9/2013) [F2013L00178]</w:t>
      </w:r>
    </w:p>
    <w:p w:rsidR="00EC5913" w:rsidRPr="00D56317" w:rsidRDefault="00EC5913" w:rsidP="00EC5913">
      <w:pPr>
        <w:ind w:right="-330"/>
        <w:rPr>
          <w:sz w:val="22"/>
          <w:szCs w:val="22"/>
        </w:rPr>
      </w:pPr>
    </w:p>
    <w:p w:rsidR="00EC5913" w:rsidRPr="00FD3243" w:rsidRDefault="00EC5913" w:rsidP="00EC5913">
      <w:pPr>
        <w:pStyle w:val="Heading3"/>
        <w:jc w:val="center"/>
      </w:pPr>
      <w:r w:rsidRPr="00FD3243">
        <w:t xml:space="preserve">Total number of instruments scrutinised: </w:t>
      </w:r>
      <w:r>
        <w:t>254</w:t>
      </w:r>
    </w:p>
    <w:p w:rsidR="003F17A2" w:rsidRDefault="003F17A2" w:rsidP="008702B8">
      <w:pPr>
        <w:pStyle w:val="Bullet1"/>
        <w:numPr>
          <w:ilvl w:val="0"/>
          <w:numId w:val="0"/>
        </w:numPr>
        <w:spacing w:after="0"/>
        <w:ind w:left="851" w:hanging="851"/>
        <w:sectPr w:rsidR="003F17A2" w:rsidSect="00BD6245">
          <w:headerReference w:type="even" r:id="rId24"/>
          <w:headerReference w:type="default" r:id="rId25"/>
          <w:footerReference w:type="even" r:id="rId26"/>
          <w:footerReference w:type="default" r:id="rId27"/>
          <w:headerReference w:type="first" r:id="rId28"/>
          <w:pgSz w:w="11906" w:h="16838" w:code="9"/>
          <w:pgMar w:top="1440" w:right="1440" w:bottom="1202" w:left="1440" w:header="1134" w:footer="720" w:gutter="0"/>
          <w:pgNumType w:start="119"/>
          <w:cols w:space="720"/>
          <w:titlePg/>
        </w:sectPr>
      </w:pPr>
    </w:p>
    <w:p w:rsidR="003F17A2" w:rsidRDefault="003F17A2" w:rsidP="003F17A2">
      <w:pPr>
        <w:pStyle w:val="Heading1"/>
      </w:pPr>
      <w:r>
        <w:lastRenderedPageBreak/>
        <w:t>Appendix 2</w:t>
      </w:r>
    </w:p>
    <w:p w:rsidR="003F17A2" w:rsidRPr="00ED30DD" w:rsidRDefault="003F17A2" w:rsidP="003F17A2">
      <w:pPr>
        <w:pStyle w:val="Heading2"/>
      </w:pPr>
      <w:r>
        <w:t>Guideline on explanatory statements: consultation</w:t>
      </w:r>
    </w:p>
    <w:p w:rsidR="003F17A2" w:rsidRDefault="003F17A2" w:rsidP="008702B8">
      <w:pPr>
        <w:pStyle w:val="Bullet1"/>
        <w:numPr>
          <w:ilvl w:val="0"/>
          <w:numId w:val="0"/>
        </w:numPr>
        <w:spacing w:after="0"/>
        <w:ind w:left="851" w:hanging="851"/>
        <w:sectPr w:rsidR="003F17A2" w:rsidSect="00BD6245">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202" w:left="1440" w:header="1134" w:footer="720" w:gutter="0"/>
          <w:pgNumType w:start="133"/>
          <w:cols w:space="720"/>
          <w:titlePg/>
        </w:sectPr>
      </w:pPr>
      <w:r>
        <w:br w:type="page"/>
      </w:r>
    </w:p>
    <w:p w:rsidR="003F17A2" w:rsidRPr="00390F32" w:rsidRDefault="000A2EBF" w:rsidP="003F17A2">
      <w:pPr>
        <w:jc w:val="center"/>
        <w:rPr>
          <w:rFonts w:ascii="Calibri" w:hAnsi="Calibri"/>
        </w:rPr>
      </w:pPr>
      <w:r>
        <w:rPr>
          <w:rFonts w:ascii="Calibri" w:hAnsi="Calibri"/>
          <w:noProof/>
          <w:lang w:eastAsia="en-AU"/>
        </w:rPr>
        <w:lastRenderedPageBreak/>
        <w:drawing>
          <wp:inline distT="0" distB="0" distL="0" distR="0">
            <wp:extent cx="7715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3F17A2" w:rsidRPr="00390F32" w:rsidRDefault="003F17A2" w:rsidP="00BD6245">
      <w:pPr>
        <w:spacing w:after="0"/>
        <w:jc w:val="center"/>
        <w:rPr>
          <w:rFonts w:ascii="Calibri" w:hAnsi="Calibri"/>
          <w:sz w:val="18"/>
        </w:rPr>
      </w:pPr>
      <w:r w:rsidRPr="00390F32">
        <w:rPr>
          <w:rFonts w:ascii="Calibri" w:hAnsi="Calibri"/>
          <w:sz w:val="18"/>
        </w:rPr>
        <w:t>AUSTRALIAN SENATE</w:t>
      </w:r>
    </w:p>
    <w:p w:rsidR="003F17A2" w:rsidRPr="00390F32" w:rsidRDefault="003F17A2" w:rsidP="00BD6245">
      <w:pPr>
        <w:spacing w:after="0"/>
        <w:jc w:val="center"/>
        <w:rPr>
          <w:rFonts w:ascii="Calibri" w:hAnsi="Calibri"/>
          <w:sz w:val="20"/>
        </w:rPr>
      </w:pPr>
    </w:p>
    <w:p w:rsidR="003F17A2" w:rsidRPr="00390F32" w:rsidRDefault="003F17A2" w:rsidP="003F17A2">
      <w:pPr>
        <w:spacing w:after="180"/>
        <w:jc w:val="center"/>
        <w:rPr>
          <w:rFonts w:ascii="Calibri" w:hAnsi="Calibri"/>
          <w:b/>
          <w:sz w:val="28"/>
          <w:szCs w:val="28"/>
        </w:rPr>
      </w:pPr>
      <w:r w:rsidRPr="00390F32">
        <w:rPr>
          <w:rFonts w:ascii="Calibri" w:hAnsi="Calibri"/>
          <w:b/>
          <w:sz w:val="28"/>
          <w:szCs w:val="28"/>
        </w:rPr>
        <w:t>STANDING COMMITTEE ON REGULATIONS AND ORDINANCES</w:t>
      </w:r>
    </w:p>
    <w:p w:rsidR="003F17A2" w:rsidRPr="00390F32" w:rsidRDefault="003F17A2" w:rsidP="003F17A2">
      <w:pPr>
        <w:jc w:val="center"/>
        <w:rPr>
          <w:rFonts w:ascii="Calibri" w:hAnsi="Calibri"/>
          <w:b/>
          <w:sz w:val="28"/>
          <w:szCs w:val="28"/>
        </w:rPr>
      </w:pPr>
      <w:r w:rsidRPr="00390F32">
        <w:rPr>
          <w:rFonts w:ascii="Calibri" w:hAnsi="Calibri"/>
          <w:b/>
          <w:sz w:val="28"/>
          <w:szCs w:val="28"/>
        </w:rPr>
        <w:t>Guideline for preparation of explanatory statements: consultation</w:t>
      </w:r>
    </w:p>
    <w:p w:rsidR="003F17A2" w:rsidRPr="00390F32" w:rsidRDefault="003F17A2" w:rsidP="00BD6245">
      <w:pPr>
        <w:spacing w:after="0"/>
        <w:rPr>
          <w:rFonts w:ascii="Calibri" w:hAnsi="Calibri"/>
          <w:szCs w:val="24"/>
        </w:rPr>
      </w:pPr>
    </w:p>
    <w:p w:rsidR="003F17A2" w:rsidRPr="00390F32" w:rsidRDefault="003F17A2" w:rsidP="00BD6245">
      <w:pPr>
        <w:spacing w:after="120"/>
        <w:rPr>
          <w:rFonts w:ascii="Calibri" w:hAnsi="Calibri"/>
          <w:b/>
          <w:i/>
          <w:szCs w:val="24"/>
        </w:rPr>
      </w:pPr>
      <w:r w:rsidRPr="00390F32">
        <w:rPr>
          <w:rFonts w:ascii="Calibri" w:hAnsi="Calibri"/>
          <w:b/>
          <w:i/>
          <w:szCs w:val="24"/>
        </w:rPr>
        <w:t>Role of the committee</w:t>
      </w:r>
    </w:p>
    <w:p w:rsidR="003F17A2" w:rsidRPr="00390F32" w:rsidRDefault="003F17A2" w:rsidP="00BD6245">
      <w:pPr>
        <w:spacing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36" w:history="1">
        <w:r w:rsidRPr="00390F32">
          <w:rPr>
            <w:rStyle w:val="Hyperlink"/>
            <w:rFonts w:ascii="Calibri" w:hAnsi="Calibri"/>
            <w:szCs w:val="24"/>
          </w:rPr>
          <w:t>non-pa</w:t>
        </w:r>
        <w:r w:rsidRPr="00390F32">
          <w:rPr>
            <w:rStyle w:val="Hyperlink"/>
            <w:rFonts w:ascii="Calibri" w:hAnsi="Calibri"/>
            <w:szCs w:val="24"/>
          </w:rPr>
          <w:t>r</w:t>
        </w:r>
        <w:r w:rsidRPr="00390F32">
          <w:rPr>
            <w:rStyle w:val="Hyperlink"/>
            <w:rFonts w:ascii="Calibri" w:hAnsi="Calibri"/>
            <w:szCs w:val="24"/>
          </w:rPr>
          <w:t>tisan principles</w:t>
        </w:r>
      </w:hyperlink>
      <w:r w:rsidRPr="00390F32">
        <w:rPr>
          <w:rFonts w:ascii="Calibri" w:hAnsi="Calibri"/>
          <w:szCs w:val="24"/>
        </w:rPr>
        <w:t xml:space="preserve"> of personal rights and parliamentary propriety.</w:t>
      </w:r>
    </w:p>
    <w:p w:rsidR="003F17A2" w:rsidRPr="00390F32" w:rsidRDefault="003F17A2" w:rsidP="00BD6245">
      <w:pPr>
        <w:spacing w:after="0"/>
        <w:rPr>
          <w:rFonts w:ascii="Calibri" w:hAnsi="Calibri"/>
          <w:szCs w:val="24"/>
        </w:rPr>
      </w:pPr>
    </w:p>
    <w:p w:rsidR="003F17A2" w:rsidRPr="00390F32" w:rsidRDefault="003F17A2" w:rsidP="00BD6245">
      <w:pPr>
        <w:spacing w:before="120" w:after="0"/>
        <w:rPr>
          <w:rFonts w:ascii="Calibri" w:hAnsi="Calibri"/>
          <w:b/>
          <w:i/>
          <w:szCs w:val="24"/>
        </w:rPr>
      </w:pPr>
      <w:r w:rsidRPr="00390F32">
        <w:rPr>
          <w:rFonts w:ascii="Calibri" w:hAnsi="Calibri"/>
          <w:b/>
          <w:i/>
          <w:szCs w:val="24"/>
        </w:rPr>
        <w:t>Purpose of guideline</w:t>
      </w:r>
    </w:p>
    <w:p w:rsidR="003F17A2" w:rsidRPr="00390F32" w:rsidRDefault="003F17A2" w:rsidP="00BD6245">
      <w:pPr>
        <w:spacing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37" w:history="1">
        <w:r w:rsidRPr="00390F32">
          <w:rPr>
            <w:rStyle w:val="Hyperlink"/>
            <w:rFonts w:ascii="Calibri" w:hAnsi="Calibri"/>
            <w:i/>
            <w:szCs w:val="24"/>
          </w:rPr>
          <w:t>Legislative Inst</w:t>
        </w:r>
        <w:r w:rsidRPr="00390F32">
          <w:rPr>
            <w:rStyle w:val="Hyperlink"/>
            <w:rFonts w:ascii="Calibri" w:hAnsi="Calibri"/>
            <w:i/>
            <w:szCs w:val="24"/>
          </w:rPr>
          <w:t>r</w:t>
        </w:r>
        <w:r w:rsidRPr="00390F32">
          <w:rPr>
            <w:rStyle w:val="Hyperlink"/>
            <w:rFonts w:ascii="Calibri" w:hAnsi="Calibri"/>
            <w:i/>
            <w:szCs w:val="24"/>
          </w:rPr>
          <w:t>u</w:t>
        </w:r>
        <w:r w:rsidRPr="00390F32">
          <w:rPr>
            <w:rStyle w:val="Hyperlink"/>
            <w:rFonts w:ascii="Calibri" w:hAnsi="Calibri"/>
            <w:i/>
            <w:szCs w:val="24"/>
          </w:rPr>
          <w:t>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8" w:history="1">
        <w:r w:rsidRPr="00390F32">
          <w:rPr>
            <w:rStyle w:val="Hyperlink"/>
            <w:rFonts w:ascii="Calibri" w:hAnsi="Calibri"/>
            <w:szCs w:val="24"/>
          </w:rPr>
          <w:t>disal</w:t>
        </w:r>
        <w:r w:rsidRPr="00390F32">
          <w:rPr>
            <w:rStyle w:val="Hyperlink"/>
            <w:rFonts w:ascii="Calibri" w:hAnsi="Calibri"/>
            <w:szCs w:val="24"/>
          </w:rPr>
          <w:t>l</w:t>
        </w:r>
        <w:r w:rsidRPr="00390F32">
          <w:rPr>
            <w:rStyle w:val="Hyperlink"/>
            <w:rFonts w:ascii="Calibri" w:hAnsi="Calibri"/>
            <w:szCs w:val="24"/>
          </w:rPr>
          <w:t>o</w:t>
        </w:r>
        <w:r w:rsidRPr="00390F32">
          <w:rPr>
            <w:rStyle w:val="Hyperlink"/>
            <w:rFonts w:ascii="Calibri" w:hAnsi="Calibri"/>
            <w:szCs w:val="24"/>
          </w:rPr>
          <w:t>w</w:t>
        </w:r>
        <w:r w:rsidRPr="00390F32">
          <w:rPr>
            <w:rStyle w:val="Hyperlink"/>
            <w:rFonts w:ascii="Calibri" w:hAnsi="Calibri"/>
            <w:szCs w:val="24"/>
          </w:rPr>
          <w:t>ance</w:t>
        </w:r>
      </w:hyperlink>
      <w:r w:rsidRPr="00390F32">
        <w:rPr>
          <w:rFonts w:ascii="Calibri" w:hAnsi="Calibri"/>
          <w:szCs w:val="24"/>
        </w:rPr>
        <w:t>.</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3F17A2" w:rsidRPr="00390F32" w:rsidRDefault="003F17A2" w:rsidP="00BD6245">
      <w:pPr>
        <w:spacing w:after="0"/>
        <w:rPr>
          <w:rFonts w:ascii="Calibri" w:hAnsi="Calibri"/>
          <w:szCs w:val="24"/>
        </w:rPr>
      </w:pPr>
    </w:p>
    <w:p w:rsidR="003F17A2" w:rsidRPr="00390F32" w:rsidRDefault="003F17A2" w:rsidP="00BD6245">
      <w:pPr>
        <w:spacing w:after="120"/>
        <w:rPr>
          <w:rFonts w:ascii="Calibri" w:hAnsi="Calibri"/>
          <w:b/>
          <w:szCs w:val="24"/>
        </w:rPr>
      </w:pPr>
      <w:r w:rsidRPr="00390F32">
        <w:rPr>
          <w:rFonts w:ascii="Calibri" w:hAnsi="Calibri"/>
          <w:b/>
          <w:i/>
          <w:szCs w:val="24"/>
        </w:rPr>
        <w:t>Requirements of the</w:t>
      </w:r>
      <w:r w:rsidRPr="00390F32">
        <w:rPr>
          <w:rFonts w:ascii="Calibri" w:hAnsi="Calibri"/>
          <w:b/>
          <w:szCs w:val="24"/>
        </w:rPr>
        <w:t xml:space="preserve"> Legislative Instruments Act 2003</w:t>
      </w:r>
    </w:p>
    <w:p w:rsidR="003F17A2" w:rsidRPr="00390F32" w:rsidRDefault="003F17A2" w:rsidP="00BD6245">
      <w:pPr>
        <w:spacing w:after="0"/>
        <w:rPr>
          <w:rFonts w:ascii="Calibri" w:hAnsi="Calibri"/>
          <w:szCs w:val="24"/>
        </w:rPr>
      </w:pPr>
      <w:r w:rsidRPr="00390F32">
        <w:rPr>
          <w:rFonts w:ascii="Calibri" w:hAnsi="Calibri"/>
          <w:szCs w:val="24"/>
        </w:rPr>
        <w:lastRenderedPageBreak/>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If a RIS or similar assessment has been prepared, it should be provided to the committee along with the ES.</w:t>
      </w:r>
    </w:p>
    <w:p w:rsidR="003F17A2" w:rsidRPr="00390F32" w:rsidRDefault="003F17A2" w:rsidP="00167EE8">
      <w:pPr>
        <w:spacing w:after="0"/>
        <w:rPr>
          <w:rFonts w:ascii="Calibri" w:hAnsi="Calibri"/>
          <w:szCs w:val="24"/>
        </w:rPr>
      </w:pPr>
    </w:p>
    <w:p w:rsidR="003F17A2" w:rsidRPr="00390F32" w:rsidRDefault="003F17A2" w:rsidP="00167EE8">
      <w:pPr>
        <w:spacing w:after="120"/>
        <w:rPr>
          <w:rFonts w:ascii="Calibri" w:hAnsi="Calibri"/>
          <w:b/>
          <w:i/>
          <w:szCs w:val="24"/>
        </w:rPr>
      </w:pPr>
      <w:r w:rsidRPr="00390F32">
        <w:rPr>
          <w:rFonts w:ascii="Calibri" w:hAnsi="Calibri"/>
          <w:b/>
          <w:i/>
          <w:szCs w:val="24"/>
        </w:rPr>
        <w:t>Describing the nature of consultation</w:t>
      </w:r>
    </w:p>
    <w:p w:rsidR="003F17A2" w:rsidRPr="00390F32" w:rsidRDefault="003F17A2" w:rsidP="00BD6245">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xml:space="preserve">. The committee does not usually interpret this as requiring a highly detailed description of any consultation undertaken. However, a bare or </w:t>
      </w:r>
      <w:proofErr w:type="gramStart"/>
      <w:r w:rsidRPr="00390F32">
        <w:rPr>
          <w:rFonts w:ascii="Calibri" w:hAnsi="Calibri"/>
          <w:szCs w:val="24"/>
        </w:rPr>
        <w:t>very</w:t>
      </w:r>
      <w:proofErr w:type="gramEnd"/>
      <w:r w:rsidRPr="00390F32">
        <w:rPr>
          <w:rFonts w:ascii="Calibri" w:hAnsi="Calibri"/>
          <w:szCs w:val="24"/>
        </w:rPr>
        <w:t xml:space="preserve"> generalised statement of the fact that consultation has taken place may be considered insufficient to meet the requirements of the Act.</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Where consultation has taken place, the ES to an instrument should set out the following information:</w:t>
      </w:r>
    </w:p>
    <w:p w:rsidR="003F17A2" w:rsidRPr="00390F32" w:rsidRDefault="003F17A2" w:rsidP="00BD6245">
      <w:pPr>
        <w:spacing w:after="0"/>
        <w:rPr>
          <w:rFonts w:ascii="Calibri" w:hAnsi="Calibri"/>
          <w:szCs w:val="24"/>
        </w:rPr>
      </w:pPr>
    </w:p>
    <w:p w:rsidR="003F17A2" w:rsidRPr="00390F32" w:rsidRDefault="003F17A2" w:rsidP="00167EE8">
      <w:pPr>
        <w:spacing w:after="120"/>
        <w:rPr>
          <w:rFonts w:ascii="Calibri" w:hAnsi="Calibri"/>
          <w:i/>
          <w:szCs w:val="24"/>
        </w:rPr>
      </w:pPr>
      <w:r w:rsidRPr="00390F32">
        <w:rPr>
          <w:rFonts w:ascii="Calibri" w:hAnsi="Calibri"/>
          <w:i/>
          <w:szCs w:val="24"/>
        </w:rPr>
        <w:t>Method and purpose of consultation</w:t>
      </w:r>
    </w:p>
    <w:p w:rsidR="003F17A2" w:rsidRPr="00390F32" w:rsidRDefault="003F17A2" w:rsidP="00BD6245">
      <w:pPr>
        <w:spacing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3F17A2" w:rsidRPr="00390F32" w:rsidRDefault="003F17A2" w:rsidP="00BD6245">
      <w:pPr>
        <w:spacing w:after="0"/>
        <w:rPr>
          <w:rFonts w:ascii="Calibri" w:hAnsi="Calibri"/>
          <w:szCs w:val="24"/>
        </w:rPr>
      </w:pPr>
    </w:p>
    <w:p w:rsidR="003F17A2" w:rsidRPr="00390F32" w:rsidRDefault="00167EE8" w:rsidP="00167EE8">
      <w:pPr>
        <w:spacing w:after="120"/>
        <w:rPr>
          <w:rFonts w:ascii="Calibri" w:hAnsi="Calibri"/>
          <w:i/>
          <w:szCs w:val="24"/>
        </w:rPr>
      </w:pPr>
      <w:r>
        <w:rPr>
          <w:rFonts w:ascii="Calibri" w:hAnsi="Calibri"/>
          <w:i/>
          <w:szCs w:val="24"/>
        </w:rPr>
        <w:br w:type="page"/>
      </w:r>
      <w:r w:rsidR="003F17A2" w:rsidRPr="00390F32">
        <w:rPr>
          <w:rFonts w:ascii="Calibri" w:hAnsi="Calibri"/>
          <w:i/>
          <w:szCs w:val="24"/>
        </w:rPr>
        <w:lastRenderedPageBreak/>
        <w:t>Bodies/groups/individuals consulted</w:t>
      </w:r>
    </w:p>
    <w:p w:rsidR="003F17A2" w:rsidRPr="00390F32" w:rsidRDefault="003F17A2" w:rsidP="00BD6245">
      <w:pPr>
        <w:spacing w:after="0"/>
        <w:rPr>
          <w:rFonts w:ascii="Calibri" w:hAnsi="Calibri"/>
          <w:szCs w:val="24"/>
        </w:rPr>
      </w:pPr>
      <w:r w:rsidRPr="00390F32">
        <w:rPr>
          <w:rFonts w:ascii="Calibri" w:hAnsi="Calibri"/>
          <w:szCs w:val="24"/>
        </w:rPr>
        <w:t xml:space="preserve">An ES should specify the actual names of departments, bodies, agencies, </w:t>
      </w:r>
      <w:proofErr w:type="gramStart"/>
      <w:r w:rsidRPr="00390F32">
        <w:rPr>
          <w:rFonts w:ascii="Calibri" w:hAnsi="Calibri"/>
          <w:szCs w:val="24"/>
        </w:rPr>
        <w:t>groups</w:t>
      </w:r>
      <w:proofErr w:type="gramEnd"/>
      <w:r w:rsidRPr="00390F32">
        <w:rPr>
          <w:rFonts w:ascii="Calibri" w:hAnsi="Calibri"/>
          <w:szCs w:val="24"/>
        </w:rPr>
        <w:t xml:space="preserve"> et cetera that were consulted. An ES should avoid overly generalised statements such as 'Relevant stakeholders were consulted'.</w:t>
      </w:r>
    </w:p>
    <w:p w:rsidR="003F17A2" w:rsidRPr="00390F32" w:rsidRDefault="003F17A2" w:rsidP="00BD6245">
      <w:pPr>
        <w:spacing w:after="0"/>
        <w:rPr>
          <w:rFonts w:ascii="Calibri" w:hAnsi="Calibri"/>
          <w:szCs w:val="24"/>
        </w:rPr>
      </w:pPr>
    </w:p>
    <w:p w:rsidR="003F17A2" w:rsidRPr="00390F32" w:rsidRDefault="003F17A2" w:rsidP="00167EE8">
      <w:pPr>
        <w:spacing w:after="120"/>
        <w:rPr>
          <w:rFonts w:ascii="Calibri" w:hAnsi="Calibri"/>
          <w:i/>
          <w:szCs w:val="24"/>
        </w:rPr>
      </w:pPr>
      <w:r w:rsidRPr="00390F32">
        <w:rPr>
          <w:rFonts w:ascii="Calibri" w:hAnsi="Calibri"/>
          <w:i/>
          <w:szCs w:val="24"/>
        </w:rPr>
        <w:t>Issues raised in consultations and outcomes</w:t>
      </w:r>
    </w:p>
    <w:p w:rsidR="003F17A2" w:rsidRPr="00390F32" w:rsidRDefault="003F17A2" w:rsidP="00BD6245">
      <w:pPr>
        <w:spacing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3F17A2" w:rsidRPr="00390F32" w:rsidRDefault="003F17A2" w:rsidP="00BD6245">
      <w:pPr>
        <w:spacing w:after="0"/>
        <w:rPr>
          <w:rFonts w:ascii="Calibri" w:hAnsi="Calibri"/>
          <w:szCs w:val="24"/>
        </w:rPr>
      </w:pPr>
    </w:p>
    <w:p w:rsidR="003F17A2" w:rsidRPr="00390F32" w:rsidRDefault="003F17A2" w:rsidP="00167EE8">
      <w:pPr>
        <w:spacing w:after="120"/>
        <w:rPr>
          <w:rFonts w:ascii="Calibri" w:hAnsi="Calibri"/>
          <w:b/>
          <w:i/>
          <w:szCs w:val="24"/>
        </w:rPr>
      </w:pPr>
      <w:r w:rsidRPr="00390F32">
        <w:rPr>
          <w:rFonts w:ascii="Calibri" w:hAnsi="Calibri"/>
          <w:b/>
          <w:i/>
          <w:szCs w:val="24"/>
        </w:rPr>
        <w:t>Explaining why consultation has not been undertaken</w:t>
      </w:r>
    </w:p>
    <w:p w:rsidR="003F17A2" w:rsidRPr="00390F32" w:rsidRDefault="003F17A2" w:rsidP="00BD6245">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In explaining why no consultation has taken place, it is important to note the following considerations:</w:t>
      </w:r>
    </w:p>
    <w:p w:rsidR="003F17A2" w:rsidRPr="00390F32" w:rsidRDefault="003F17A2" w:rsidP="00BD6245">
      <w:pPr>
        <w:spacing w:after="0"/>
        <w:rPr>
          <w:rFonts w:ascii="Calibri" w:hAnsi="Calibri"/>
          <w:szCs w:val="24"/>
        </w:rPr>
      </w:pPr>
    </w:p>
    <w:p w:rsidR="003F17A2" w:rsidRPr="00390F32" w:rsidRDefault="003F17A2" w:rsidP="00167EE8">
      <w:pPr>
        <w:spacing w:after="120"/>
        <w:rPr>
          <w:rFonts w:ascii="Calibri" w:hAnsi="Calibri"/>
          <w:i/>
          <w:szCs w:val="24"/>
        </w:rPr>
      </w:pPr>
      <w:r w:rsidRPr="00390F32">
        <w:rPr>
          <w:rFonts w:ascii="Calibri" w:hAnsi="Calibri"/>
          <w:i/>
          <w:szCs w:val="24"/>
        </w:rPr>
        <w:t>Specific examples listed in the Act</w:t>
      </w:r>
    </w:p>
    <w:p w:rsidR="003F17A2" w:rsidRPr="00390F32" w:rsidRDefault="003F17A2" w:rsidP="00BD6245">
      <w:pPr>
        <w:spacing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3F17A2" w:rsidRPr="00390F32" w:rsidRDefault="003F17A2" w:rsidP="00BD6245">
      <w:pPr>
        <w:spacing w:after="0"/>
        <w:rPr>
          <w:rFonts w:ascii="Calibri" w:hAnsi="Calibri"/>
          <w:szCs w:val="24"/>
        </w:rPr>
      </w:pPr>
    </w:p>
    <w:p w:rsidR="003F17A2" w:rsidRPr="00390F32" w:rsidRDefault="003F17A2" w:rsidP="00167EE8">
      <w:pPr>
        <w:spacing w:after="120"/>
        <w:rPr>
          <w:rFonts w:ascii="Calibri" w:hAnsi="Calibri"/>
          <w:i/>
          <w:szCs w:val="24"/>
        </w:rPr>
      </w:pPr>
      <w:r w:rsidRPr="00390F32">
        <w:rPr>
          <w:rFonts w:ascii="Calibri" w:hAnsi="Calibri"/>
          <w:i/>
          <w:szCs w:val="24"/>
        </w:rPr>
        <w:t>Timing of consultation</w:t>
      </w:r>
    </w:p>
    <w:p w:rsidR="003F17A2" w:rsidRPr="00390F32" w:rsidRDefault="003F17A2" w:rsidP="00BD6245">
      <w:pPr>
        <w:spacing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3F17A2" w:rsidRPr="00390F32" w:rsidRDefault="003F17A2" w:rsidP="00BD6245">
      <w:pPr>
        <w:spacing w:after="0"/>
        <w:rPr>
          <w:rFonts w:ascii="Calibri" w:hAnsi="Calibri"/>
          <w:b/>
          <w:szCs w:val="24"/>
        </w:rPr>
      </w:pPr>
    </w:p>
    <w:p w:rsidR="003F17A2" w:rsidRPr="00390F32" w:rsidRDefault="003F17A2" w:rsidP="00167EE8">
      <w:pPr>
        <w:spacing w:after="120"/>
        <w:rPr>
          <w:rFonts w:ascii="Calibri" w:hAnsi="Calibri"/>
          <w:b/>
          <w:i/>
          <w:szCs w:val="24"/>
        </w:rPr>
      </w:pPr>
      <w:r w:rsidRPr="00390F32">
        <w:rPr>
          <w:rFonts w:ascii="Calibri" w:hAnsi="Calibri"/>
          <w:b/>
          <w:i/>
          <w:szCs w:val="24"/>
        </w:rPr>
        <w:t>Seeking further advice or information</w:t>
      </w:r>
    </w:p>
    <w:p w:rsidR="003F17A2" w:rsidRPr="00390F32" w:rsidRDefault="003F17A2" w:rsidP="00BD6245">
      <w:pPr>
        <w:spacing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 xml:space="preserve">Further information is also available through the committee's website at </w:t>
      </w:r>
      <w:hyperlink r:id="rId39"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3F17A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Committee Secretary</w:t>
      </w:r>
    </w:p>
    <w:p w:rsidR="003F17A2" w:rsidRPr="00390F32" w:rsidRDefault="003F17A2" w:rsidP="00BD6245">
      <w:pPr>
        <w:spacing w:after="0"/>
        <w:rPr>
          <w:rFonts w:ascii="Calibri" w:hAnsi="Calibri"/>
          <w:szCs w:val="24"/>
        </w:rPr>
      </w:pPr>
      <w:r w:rsidRPr="00390F32">
        <w:rPr>
          <w:rFonts w:ascii="Calibri" w:hAnsi="Calibri"/>
          <w:szCs w:val="24"/>
        </w:rPr>
        <w:t>Senate Regulations and Ordinances Committee</w:t>
      </w:r>
    </w:p>
    <w:p w:rsidR="003F17A2" w:rsidRPr="00390F32" w:rsidRDefault="003F17A2" w:rsidP="00BD6245">
      <w:pPr>
        <w:spacing w:after="0"/>
        <w:rPr>
          <w:rFonts w:ascii="Calibri" w:hAnsi="Calibri"/>
          <w:szCs w:val="24"/>
        </w:rPr>
      </w:pPr>
      <w:r w:rsidRPr="00390F32">
        <w:rPr>
          <w:rFonts w:ascii="Calibri" w:hAnsi="Calibri"/>
          <w:szCs w:val="24"/>
        </w:rPr>
        <w:t>PO Box 6100</w:t>
      </w:r>
    </w:p>
    <w:p w:rsidR="003F17A2" w:rsidRPr="00390F32" w:rsidRDefault="003F17A2" w:rsidP="00BD6245">
      <w:pPr>
        <w:spacing w:after="0"/>
        <w:rPr>
          <w:rFonts w:ascii="Calibri" w:hAnsi="Calibri"/>
          <w:szCs w:val="24"/>
        </w:rPr>
      </w:pPr>
      <w:r w:rsidRPr="00390F32">
        <w:rPr>
          <w:rFonts w:ascii="Calibri" w:hAnsi="Calibri"/>
          <w:szCs w:val="24"/>
        </w:rPr>
        <w:t>Parliament House</w:t>
      </w:r>
    </w:p>
    <w:p w:rsidR="003F17A2" w:rsidRPr="00390F32" w:rsidRDefault="003F17A2" w:rsidP="00BD6245">
      <w:pPr>
        <w:spacing w:after="0"/>
        <w:rPr>
          <w:rFonts w:ascii="Calibri" w:hAnsi="Calibri"/>
          <w:szCs w:val="24"/>
        </w:rPr>
      </w:pPr>
      <w:r w:rsidRPr="00390F32">
        <w:rPr>
          <w:rFonts w:ascii="Calibri" w:hAnsi="Calibri"/>
          <w:szCs w:val="24"/>
        </w:rPr>
        <w:t>Canberra ACT 2600</w:t>
      </w:r>
    </w:p>
    <w:p w:rsidR="003F17A2" w:rsidRPr="00390F32" w:rsidRDefault="003F17A2" w:rsidP="00BD6245">
      <w:pPr>
        <w:spacing w:after="0"/>
        <w:rPr>
          <w:rFonts w:ascii="Calibri" w:hAnsi="Calibri"/>
          <w:szCs w:val="24"/>
        </w:rPr>
      </w:pPr>
      <w:r w:rsidRPr="00390F32">
        <w:rPr>
          <w:rFonts w:ascii="Calibri" w:hAnsi="Calibri"/>
          <w:szCs w:val="24"/>
        </w:rPr>
        <w:t>Australia</w:t>
      </w:r>
    </w:p>
    <w:p w:rsidR="003F17A2" w:rsidRPr="00390F32" w:rsidRDefault="003F17A2" w:rsidP="00BD6245">
      <w:pPr>
        <w:spacing w:after="0"/>
        <w:rPr>
          <w:rFonts w:ascii="Calibri" w:hAnsi="Calibri"/>
          <w:szCs w:val="24"/>
        </w:rPr>
      </w:pPr>
    </w:p>
    <w:p w:rsidR="003F17A2" w:rsidRPr="00390F32" w:rsidRDefault="003F17A2" w:rsidP="00BD6245">
      <w:pPr>
        <w:spacing w:after="0"/>
        <w:rPr>
          <w:rFonts w:ascii="Calibri" w:hAnsi="Calibri"/>
          <w:szCs w:val="24"/>
        </w:rPr>
      </w:pPr>
      <w:r w:rsidRPr="00390F32">
        <w:rPr>
          <w:rFonts w:ascii="Calibri" w:hAnsi="Calibri"/>
          <w:szCs w:val="24"/>
        </w:rPr>
        <w:t xml:space="preserve">Phone: +61 2 6277 3066 </w:t>
      </w:r>
    </w:p>
    <w:p w:rsidR="003F17A2" w:rsidRPr="00390F32" w:rsidRDefault="003F17A2" w:rsidP="00BD6245">
      <w:pPr>
        <w:spacing w:after="0"/>
        <w:rPr>
          <w:rFonts w:ascii="Calibri" w:hAnsi="Calibri"/>
          <w:szCs w:val="24"/>
        </w:rPr>
      </w:pPr>
      <w:r w:rsidRPr="00390F32">
        <w:rPr>
          <w:rFonts w:ascii="Calibri" w:hAnsi="Calibri"/>
          <w:szCs w:val="24"/>
        </w:rPr>
        <w:t xml:space="preserve">Fax: +61 2 6277 5881 </w:t>
      </w:r>
    </w:p>
    <w:p w:rsidR="003F17A2" w:rsidRPr="00561AF0" w:rsidRDefault="003F17A2" w:rsidP="00BD6245">
      <w:pPr>
        <w:spacing w:after="0"/>
        <w:rPr>
          <w:rFonts w:ascii="Calibri" w:hAnsi="Calibri"/>
          <w:szCs w:val="24"/>
        </w:rPr>
      </w:pPr>
      <w:r w:rsidRPr="00390F32">
        <w:rPr>
          <w:rFonts w:ascii="Calibri" w:hAnsi="Calibri"/>
          <w:szCs w:val="24"/>
        </w:rPr>
        <w:t xml:space="preserve">Email: </w:t>
      </w:r>
      <w:hyperlink r:id="rId40" w:history="1">
        <w:r w:rsidRPr="00390F32">
          <w:rPr>
            <w:rStyle w:val="Hyperlink"/>
            <w:rFonts w:ascii="Calibri" w:hAnsi="Calibri"/>
            <w:szCs w:val="24"/>
          </w:rPr>
          <w:t>RegOrds.Sen@aph.gov.au</w:t>
        </w:r>
      </w:hyperlink>
    </w:p>
    <w:p w:rsidR="008702B8" w:rsidRDefault="008702B8" w:rsidP="00BD6245">
      <w:pPr>
        <w:pStyle w:val="Bullet1"/>
        <w:numPr>
          <w:ilvl w:val="0"/>
          <w:numId w:val="0"/>
        </w:numPr>
        <w:spacing w:after="0"/>
        <w:ind w:left="851" w:hanging="851"/>
      </w:pPr>
    </w:p>
    <w:sectPr w:rsidR="008702B8" w:rsidSect="003F17A2">
      <w:headerReference w:type="even" r:id="rId41"/>
      <w:headerReference w:type="default" r:id="rId42"/>
      <w:footerReference w:type="default" r:id="rId43"/>
      <w:pgSz w:w="11907" w:h="16840" w:code="9"/>
      <w:pgMar w:top="624" w:right="1361" w:bottom="1202" w:left="1361"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B5" w:rsidRDefault="00FE34B5">
      <w:r>
        <w:separator/>
      </w:r>
    </w:p>
  </w:endnote>
  <w:endnote w:type="continuationSeparator" w:id="0">
    <w:p w:rsidR="00FE34B5" w:rsidRDefault="00FE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rsidP="00174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70B">
      <w:rPr>
        <w:rStyle w:val="PageNumber"/>
        <w:noProof/>
      </w:rPr>
      <w:t>viii</w:t>
    </w:r>
    <w:r>
      <w:rPr>
        <w:rStyle w:val="PageNumber"/>
      </w:rPr>
      <w:fldChar w:fldCharType="end"/>
    </w:r>
  </w:p>
  <w:p w:rsidR="00BD6245" w:rsidRDefault="00BD6245">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jc w:val="right"/>
    </w:pPr>
  </w:p>
  <w:p w:rsidR="00BD6245" w:rsidRDefault="00BD6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rsidP="00174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70B">
      <w:rPr>
        <w:rStyle w:val="PageNumber"/>
        <w:noProof/>
      </w:rPr>
      <w:t>vii</w:t>
    </w:r>
    <w:r>
      <w:rPr>
        <w:rStyle w:val="PageNumber"/>
      </w:rPr>
      <w:fldChar w:fldCharType="end"/>
    </w:r>
  </w:p>
  <w:p w:rsidR="00BD6245" w:rsidRDefault="00BD6245">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B5" w:rsidRDefault="00FE34B5">
      <w:r>
        <w:separator/>
      </w:r>
    </w:p>
  </w:footnote>
  <w:footnote w:type="continuationSeparator" w:id="0">
    <w:p w:rsidR="00FE34B5" w:rsidRDefault="00FE34B5">
      <w:r>
        <w:continuationSeparator/>
      </w:r>
    </w:p>
  </w:footnote>
  <w:footnote w:id="1">
    <w:p w:rsidR="00BD6245" w:rsidRPr="00F61935" w:rsidRDefault="00BD6245" w:rsidP="008702B8">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BD6245" w:rsidRPr="00ED4CC3" w:rsidRDefault="00BD6245" w:rsidP="008702B8">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BD6245" w:rsidRPr="00BC6E0D" w:rsidRDefault="00BD6245" w:rsidP="001E0AC1">
      <w:pPr>
        <w:pStyle w:val="FootnoteText"/>
        <w:spacing w:after="120"/>
      </w:pPr>
      <w:r w:rsidRPr="00BC6E0D">
        <w:rPr>
          <w:rStyle w:val="FootnoteReference"/>
          <w:vertAlign w:val="baseline"/>
        </w:rPr>
        <w:footnoteRef/>
      </w:r>
      <w:r w:rsidRPr="00BC6E0D">
        <w:t xml:space="preserve"> </w:t>
      </w:r>
      <w:r>
        <w:tab/>
        <w:t>'Last day to disallow' refers to the last day on which notice may be given of a motion for disallowance in the Senate.</w:t>
      </w:r>
    </w:p>
  </w:footnote>
  <w:footnote w:id="4">
    <w:p w:rsidR="00BD6245" w:rsidRPr="00940F8E" w:rsidRDefault="00BD6245" w:rsidP="001E0AC1">
      <w:pPr>
        <w:pStyle w:val="FootnoteText"/>
        <w:spacing w:after="120"/>
      </w:pPr>
      <w:r w:rsidRPr="00940F8E">
        <w:rPr>
          <w:rStyle w:val="FootnoteReference"/>
          <w:vertAlign w:val="baseline"/>
        </w:rPr>
        <w:footnoteRef/>
      </w:r>
      <w:r w:rsidRPr="00940F8E">
        <w:t xml:space="preserve"> </w:t>
      </w:r>
      <w:r>
        <w:tab/>
      </w:r>
      <w:r w:rsidRPr="00EC1A30">
        <w:t xml:space="preserve">The committee's guideline on addressing the consultation requirements of the </w:t>
      </w:r>
      <w:r w:rsidRPr="00EC1A30">
        <w:rPr>
          <w:i/>
        </w:rPr>
        <w:t>Legislative Instruments Act 2003</w:t>
      </w:r>
      <w:r w:rsidRPr="00EC1A30">
        <w:t xml:space="preserve"> is included at Appendix </w:t>
      </w:r>
      <w:r>
        <w:t>2</w:t>
      </w:r>
      <w:r w:rsidRPr="00EC1A30">
        <w:t>.</w:t>
      </w:r>
    </w:p>
  </w:footnote>
  <w:footnote w:id="5">
    <w:p w:rsidR="00BD6245" w:rsidRPr="006D266C" w:rsidRDefault="00BD6245" w:rsidP="001E0AC1">
      <w:pPr>
        <w:pStyle w:val="FootnoteText"/>
        <w:spacing w:after="120"/>
      </w:pPr>
      <w:r w:rsidRPr="006D266C">
        <w:rPr>
          <w:rStyle w:val="FootnoteReference"/>
          <w:vertAlign w:val="baseline"/>
        </w:rPr>
        <w:footnoteRef/>
      </w:r>
      <w:r w:rsidRPr="006D266C">
        <w:t xml:space="preserve"> </w:t>
      </w:r>
      <w:r>
        <w:tab/>
        <w:t>CASA EX03/13 - Exemption — recency requirements for night flying for F100 aircraft (Network Aviation Pty Ltd) [F2013L00068]; CASA EX04/13 - Exemption — recency requirements for night flying for Embraer 120 aircraft (Network Aviation Pty Ltd) [F2013L00069]; and Civil Aviation Order 20.18 Amendment Instrument 2013 (No. 1) [F2013L00070].</w:t>
      </w:r>
    </w:p>
  </w:footnote>
  <w:footnote w:id="6">
    <w:p w:rsidR="00BD6245" w:rsidRPr="00476849" w:rsidRDefault="00BD6245" w:rsidP="00EC5913">
      <w:pPr>
        <w:pStyle w:val="FootnoteText"/>
        <w:spacing w:after="120"/>
      </w:pPr>
      <w:r w:rsidRPr="00476849">
        <w:rPr>
          <w:rStyle w:val="FootnoteReference"/>
          <w:vertAlign w:val="baseline"/>
        </w:rPr>
        <w:footnoteRef/>
      </w:r>
      <w:r w:rsidRPr="00476849">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tabs>
        <w:tab w:val="clear" w:pos="8306"/>
        <w:tab w:val="right" w:pos="9000"/>
      </w:tabs>
    </w:pPr>
    <w:r>
      <w:tab/>
      <w:t>119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Pr="00F710D5" w:rsidRDefault="00BD6245" w:rsidP="00514A39">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135</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tabs>
        <w:tab w:val="clear" w:pos="8306"/>
        <w:tab w:val="right" w:pos="9000"/>
      </w:tabs>
    </w:pPr>
    <w:r>
      <w:tab/>
      <w:t>133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E8" w:rsidRPr="00F710D5" w:rsidRDefault="00167EE8" w:rsidP="00167EE8">
    <w:pPr>
      <w:pStyle w:val="Header"/>
      <w:tabs>
        <w:tab w:val="clear" w:pos="8306"/>
        <w:tab w:val="right" w:pos="9000"/>
      </w:tabs>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rsidP="003F17A2">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Pr="00F710D5" w:rsidRDefault="00BD6245">
    <w:pPr>
      <w:pStyle w:val="Header"/>
      <w:pBdr>
        <w:bottom w:val="single" w:sz="4" w:space="1" w:color="auto"/>
      </w:pBdr>
      <w:tabs>
        <w:tab w:val="clear" w:pos="8306"/>
        <w:tab w:val="right" w:pos="9000"/>
      </w:tabs>
    </w:pPr>
    <w:r>
      <w:fldChar w:fldCharType="begin"/>
    </w:r>
    <w:r>
      <w:instrText xml:space="preserve"> PAGE </w:instrText>
    </w:r>
    <w:r>
      <w:fldChar w:fldCharType="separate"/>
    </w:r>
    <w:r w:rsidR="00DC070B">
      <w:rPr>
        <w:noProof/>
      </w:rPr>
      <w:t>114</w:t>
    </w:r>
    <w:r>
      <w:rPr>
        <w:noProof/>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DC070B">
      <w:rPr>
        <w:noProof/>
      </w:rPr>
      <w:t>115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tabs>
        <w:tab w:val="clear" w:pos="8306"/>
        <w:tab w:val="right" w:pos="9000"/>
      </w:tabs>
    </w:pPr>
    <w:r>
      <w:tab/>
    </w:r>
    <w:r>
      <w:fldChar w:fldCharType="begin"/>
    </w:r>
    <w:r>
      <w:instrText xml:space="preserve"> PAGE </w:instrText>
    </w:r>
    <w:r>
      <w:fldChar w:fldCharType="separate"/>
    </w:r>
    <w:r w:rsidR="00DC070B">
      <w:rPr>
        <w:noProof/>
      </w:rPr>
      <w:t>95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Pr="00F710D5" w:rsidRDefault="00BD6245">
    <w:pPr>
      <w:pStyle w:val="Header"/>
      <w:pBdr>
        <w:bottom w:val="single" w:sz="4" w:space="1" w:color="auto"/>
      </w:pBdr>
      <w:tabs>
        <w:tab w:val="clear" w:pos="8306"/>
        <w:tab w:val="right" w:pos="9000"/>
      </w:tabs>
    </w:pPr>
    <w:r>
      <w:fldChar w:fldCharType="begin"/>
    </w:r>
    <w:r>
      <w:instrText xml:space="preserve"> PAGE </w:instrText>
    </w:r>
    <w:r>
      <w:fldChar w:fldCharType="separate"/>
    </w:r>
    <w:r w:rsidR="000A2EBF">
      <w:rPr>
        <w:noProof/>
      </w:rPr>
      <w:t>118</w:t>
    </w:r>
    <w:r>
      <w:rPr>
        <w:noProof/>
      </w:rPr>
      <w:fldChar w:fldCharType="end"/>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17</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tabs>
        <w:tab w:val="clear" w:pos="8306"/>
        <w:tab w:val="right" w:pos="9000"/>
      </w:tabs>
    </w:pPr>
    <w:r>
      <w:tab/>
      <w:t>117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Pr="00F710D5" w:rsidRDefault="00BD6245">
    <w:pPr>
      <w:pStyle w:val="Header"/>
      <w:pBdr>
        <w:bottom w:val="single" w:sz="4" w:space="1" w:color="auto"/>
      </w:pBdr>
      <w:tabs>
        <w:tab w:val="clear" w:pos="8306"/>
        <w:tab w:val="right" w:pos="9000"/>
      </w:tabs>
    </w:pPr>
    <w:r>
      <w:fldChar w:fldCharType="begin"/>
    </w:r>
    <w:r>
      <w:instrText xml:space="preserve"> PAGE </w:instrText>
    </w:r>
    <w:r>
      <w:fldChar w:fldCharType="separate"/>
    </w:r>
    <w:r w:rsidR="00DC070B">
      <w:rPr>
        <w:noProof/>
      </w:rPr>
      <w:t>132</w:t>
    </w:r>
    <w:r>
      <w:rPr>
        <w:noProof/>
      </w:rPr>
      <w:fldChar w:fldCharType="end"/>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245" w:rsidRDefault="00BD6245">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DC070B">
      <w:rPr>
        <w:noProof/>
      </w:rPr>
      <w:t>131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55A7C48"/>
    <w:multiLevelType w:val="hybridMultilevel"/>
    <w:tmpl w:val="362E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191FF8"/>
    <w:multiLevelType w:val="hybridMultilevel"/>
    <w:tmpl w:val="60B43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53693"/>
    <w:multiLevelType w:val="multilevel"/>
    <w:tmpl w:val="182830E8"/>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6792033"/>
    <w:multiLevelType w:val="multilevel"/>
    <w:tmpl w:val="EBDA910C"/>
    <w:lvl w:ilvl="0">
      <w:start w:val="1"/>
      <w:numFmt w:val="decimal"/>
      <w:pStyle w:val="Level3"/>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9">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33C461D"/>
    <w:multiLevelType w:val="hybridMultilevel"/>
    <w:tmpl w:val="AFAC0CCE"/>
    <w:lvl w:ilvl="0" w:tplc="CC36CEE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40427213"/>
    <w:multiLevelType w:val="hybridMultilevel"/>
    <w:tmpl w:val="9940CB4C"/>
    <w:lvl w:ilvl="0" w:tplc="384ADC30">
      <w:start w:val="1"/>
      <w:numFmt w:val="decimal"/>
      <w:lvlText w:val="%1."/>
      <w:lvlJc w:val="left"/>
      <w:pPr>
        <w:ind w:left="50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F287D5F"/>
    <w:multiLevelType w:val="multilevel"/>
    <w:tmpl w:val="9BAA66BC"/>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3D2471F"/>
    <w:multiLevelType w:val="multilevel"/>
    <w:tmpl w:val="F8EC08A8"/>
    <w:lvl w:ilvl="0">
      <w:start w:val="1"/>
      <w:numFmt w:val="decimal"/>
      <w:pStyle w:val="Level1"/>
      <w:lvlText w:val="99.%1"/>
      <w:lvlJc w:val="left"/>
      <w:pPr>
        <w:tabs>
          <w:tab w:val="num" w:pos="850"/>
        </w:tabs>
        <w:ind w:left="0" w:firstLine="0"/>
      </w:pPr>
      <w:rPr>
        <w:rFonts w:hint="default"/>
        <w:b w:val="0"/>
        <w:sz w:val="20"/>
      </w:rPr>
    </w:lvl>
    <w:lvl w:ilvl="1">
      <w:start w:val="1"/>
      <w:numFmt w:val="lowerLetter"/>
      <w:pStyle w:val="Level2"/>
      <w:lvlText w:val="(%2)"/>
      <w:lvlJc w:val="left"/>
      <w:pPr>
        <w:tabs>
          <w:tab w:val="num" w:pos="1417"/>
        </w:tabs>
        <w:ind w:left="1417" w:hanging="567"/>
      </w:pPr>
      <w:rPr>
        <w:rFonts w:hint="default"/>
        <w:sz w:val="20"/>
      </w:rPr>
    </w:lvl>
    <w:lvl w:ilvl="2">
      <w:start w:val="1"/>
      <w:numFmt w:val="lowerRoman"/>
      <w:pStyle w:val="Level3"/>
      <w:lvlText w:val="(%3)"/>
      <w:lvlJc w:val="left"/>
      <w:pPr>
        <w:tabs>
          <w:tab w:val="num" w:pos="1984"/>
        </w:tabs>
        <w:ind w:left="1984" w:hanging="567"/>
      </w:pPr>
      <w:rPr>
        <w:rFonts w:hint="default"/>
        <w:sz w:val="20"/>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sz w:val="20"/>
      </w:rPr>
    </w:lvl>
    <w:lvl w:ilvl="5">
      <w:start w:val="1"/>
      <w:numFmt w:val="none"/>
      <w:pStyle w:val="Heading6"/>
      <w:suff w:val="nothing"/>
      <w:lvlText w:val=""/>
      <w:lvlJc w:val="left"/>
      <w:pPr>
        <w:ind w:left="0" w:firstLine="0"/>
      </w:pPr>
      <w:rPr>
        <w:rFonts w:hint="default"/>
        <w:sz w:val="20"/>
      </w:rPr>
    </w:lvl>
    <w:lvl w:ilvl="6">
      <w:start w:val="1"/>
      <w:numFmt w:val="none"/>
      <w:pStyle w:val="Heading7"/>
      <w:suff w:val="nothing"/>
      <w:lvlText w:val=""/>
      <w:lvlJc w:val="left"/>
      <w:pPr>
        <w:ind w:left="0" w:firstLine="0"/>
      </w:pPr>
      <w:rPr>
        <w:rFonts w:hint="default"/>
        <w:sz w:val="20"/>
      </w:rPr>
    </w:lvl>
    <w:lvl w:ilvl="7">
      <w:start w:val="1"/>
      <w:numFmt w:val="none"/>
      <w:pStyle w:val="Heading8"/>
      <w:suff w:val="nothing"/>
      <w:lvlText w:val=""/>
      <w:lvlJc w:val="left"/>
      <w:pPr>
        <w:ind w:left="0" w:firstLine="0"/>
      </w:pPr>
      <w:rPr>
        <w:rFonts w:hint="default"/>
        <w:sz w:val="20"/>
      </w:rPr>
    </w:lvl>
    <w:lvl w:ilvl="8">
      <w:start w:val="1"/>
      <w:numFmt w:val="none"/>
      <w:pStyle w:val="Heading9"/>
      <w:suff w:val="nothing"/>
      <w:lvlText w:val=""/>
      <w:lvlJc w:val="left"/>
      <w:pPr>
        <w:ind w:left="0" w:firstLine="0"/>
      </w:pPr>
      <w:rPr>
        <w:rFonts w:hint="default"/>
        <w:sz w:val="20"/>
      </w:rPr>
    </w:lvl>
  </w:abstractNum>
  <w:abstractNum w:abstractNumId="30">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nsid w:val="72E229ED"/>
    <w:multiLevelType w:val="hybridMultilevel"/>
    <w:tmpl w:val="EC1C8F66"/>
    <w:lvl w:ilvl="0" w:tplc="8294EB64">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8"/>
  </w:num>
  <w:num w:numId="2">
    <w:abstractNumId w:val="14"/>
  </w:num>
  <w:num w:numId="3">
    <w:abstractNumId w:val="16"/>
  </w:num>
  <w:num w:numId="4">
    <w:abstractNumId w:val="17"/>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2"/>
  </w:num>
  <w:num w:numId="19">
    <w:abstractNumId w:val="32"/>
  </w:num>
  <w:num w:numId="20">
    <w:abstractNumId w:val="10"/>
  </w:num>
  <w:num w:numId="21">
    <w:abstractNumId w:val="29"/>
  </w:num>
  <w:num w:numId="22">
    <w:abstractNumId w:val="21"/>
  </w:num>
  <w:num w:numId="23">
    <w:abstractNumId w:val="30"/>
  </w:num>
  <w:num w:numId="24">
    <w:abstractNumId w:val="23"/>
  </w:num>
  <w:num w:numId="25">
    <w:abstractNumId w:val="24"/>
  </w:num>
  <w:num w:numId="26">
    <w:abstractNumId w:val="29"/>
  </w:num>
  <w:num w:numId="27">
    <w:abstractNumId w:val="29"/>
  </w:num>
  <w:num w:numId="28">
    <w:abstractNumId w:val="33"/>
  </w:num>
  <w:num w:numId="29">
    <w:abstractNumId w:val="33"/>
  </w:num>
  <w:num w:numId="30">
    <w:abstractNumId w:val="33"/>
  </w:num>
  <w:num w:numId="31">
    <w:abstractNumId w:val="29"/>
  </w:num>
  <w:num w:numId="32">
    <w:abstractNumId w:val="29"/>
  </w:num>
  <w:num w:numId="33">
    <w:abstractNumId w:val="19"/>
  </w:num>
  <w:num w:numId="3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5"/>
  </w:num>
  <w:num w:numId="37">
    <w:abstractNumId w:val="11"/>
  </w:num>
  <w:num w:numId="38">
    <w:abstractNumId w:val="31"/>
  </w:num>
  <w:num w:numId="39">
    <w:abstractNumId w:val="27"/>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3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A"/>
    <w:rsid w:val="0000066E"/>
    <w:rsid w:val="000036CC"/>
    <w:rsid w:val="00006000"/>
    <w:rsid w:val="00013B41"/>
    <w:rsid w:val="000210F2"/>
    <w:rsid w:val="0002489E"/>
    <w:rsid w:val="000323F8"/>
    <w:rsid w:val="00037F0D"/>
    <w:rsid w:val="0004091C"/>
    <w:rsid w:val="00041A66"/>
    <w:rsid w:val="00042366"/>
    <w:rsid w:val="00046794"/>
    <w:rsid w:val="00055C5D"/>
    <w:rsid w:val="00061768"/>
    <w:rsid w:val="00070A03"/>
    <w:rsid w:val="00074BD4"/>
    <w:rsid w:val="00077F67"/>
    <w:rsid w:val="00097619"/>
    <w:rsid w:val="000A2EBF"/>
    <w:rsid w:val="000B251D"/>
    <w:rsid w:val="000B484C"/>
    <w:rsid w:val="000B7E68"/>
    <w:rsid w:val="000C08C1"/>
    <w:rsid w:val="000D2CC1"/>
    <w:rsid w:val="000D56E8"/>
    <w:rsid w:val="000E0EF6"/>
    <w:rsid w:val="000E2B3E"/>
    <w:rsid w:val="000E7228"/>
    <w:rsid w:val="000F17E8"/>
    <w:rsid w:val="000F1A37"/>
    <w:rsid w:val="00105985"/>
    <w:rsid w:val="001060D8"/>
    <w:rsid w:val="00123B7A"/>
    <w:rsid w:val="00130E30"/>
    <w:rsid w:val="00135EBD"/>
    <w:rsid w:val="00146EAA"/>
    <w:rsid w:val="001473B5"/>
    <w:rsid w:val="00156E23"/>
    <w:rsid w:val="00166D98"/>
    <w:rsid w:val="00167EE8"/>
    <w:rsid w:val="00174098"/>
    <w:rsid w:val="001754A6"/>
    <w:rsid w:val="001800A9"/>
    <w:rsid w:val="00180F4A"/>
    <w:rsid w:val="001932F0"/>
    <w:rsid w:val="001A1519"/>
    <w:rsid w:val="001B1577"/>
    <w:rsid w:val="001B1B4F"/>
    <w:rsid w:val="001C1B43"/>
    <w:rsid w:val="001C26CE"/>
    <w:rsid w:val="001C2B02"/>
    <w:rsid w:val="001D383F"/>
    <w:rsid w:val="001E0AC1"/>
    <w:rsid w:val="001E17E8"/>
    <w:rsid w:val="001F4D26"/>
    <w:rsid w:val="001F5527"/>
    <w:rsid w:val="001F6A19"/>
    <w:rsid w:val="00220DF2"/>
    <w:rsid w:val="00234C1B"/>
    <w:rsid w:val="0023733D"/>
    <w:rsid w:val="00237AA6"/>
    <w:rsid w:val="00237E04"/>
    <w:rsid w:val="00251CA3"/>
    <w:rsid w:val="00257F3A"/>
    <w:rsid w:val="0026232D"/>
    <w:rsid w:val="002832C7"/>
    <w:rsid w:val="0029322F"/>
    <w:rsid w:val="002A41F2"/>
    <w:rsid w:val="002A5EE3"/>
    <w:rsid w:val="002A7CAE"/>
    <w:rsid w:val="002B4EB0"/>
    <w:rsid w:val="002B5C1D"/>
    <w:rsid w:val="002B6D7F"/>
    <w:rsid w:val="002B7B24"/>
    <w:rsid w:val="002C6A90"/>
    <w:rsid w:val="002D1A75"/>
    <w:rsid w:val="002D3C1E"/>
    <w:rsid w:val="002E2486"/>
    <w:rsid w:val="002F23C7"/>
    <w:rsid w:val="002F2956"/>
    <w:rsid w:val="002F67AB"/>
    <w:rsid w:val="00304995"/>
    <w:rsid w:val="00315F21"/>
    <w:rsid w:val="00317311"/>
    <w:rsid w:val="0032603D"/>
    <w:rsid w:val="00340D0C"/>
    <w:rsid w:val="00344D31"/>
    <w:rsid w:val="00345DC1"/>
    <w:rsid w:val="00350769"/>
    <w:rsid w:val="0035283E"/>
    <w:rsid w:val="00357602"/>
    <w:rsid w:val="00366748"/>
    <w:rsid w:val="0037324E"/>
    <w:rsid w:val="0037756C"/>
    <w:rsid w:val="0038596D"/>
    <w:rsid w:val="003920AB"/>
    <w:rsid w:val="00392CF4"/>
    <w:rsid w:val="00395DAF"/>
    <w:rsid w:val="003A061C"/>
    <w:rsid w:val="003A3059"/>
    <w:rsid w:val="003B0202"/>
    <w:rsid w:val="003B3D7F"/>
    <w:rsid w:val="003B70B0"/>
    <w:rsid w:val="003D72B0"/>
    <w:rsid w:val="003F17A2"/>
    <w:rsid w:val="00406DAA"/>
    <w:rsid w:val="004615D9"/>
    <w:rsid w:val="00466A4D"/>
    <w:rsid w:val="004775CC"/>
    <w:rsid w:val="0048077F"/>
    <w:rsid w:val="004810BA"/>
    <w:rsid w:val="00483503"/>
    <w:rsid w:val="0049086E"/>
    <w:rsid w:val="00491691"/>
    <w:rsid w:val="004A42E9"/>
    <w:rsid w:val="004B5E13"/>
    <w:rsid w:val="004C44F0"/>
    <w:rsid w:val="004C7A7D"/>
    <w:rsid w:val="004E6112"/>
    <w:rsid w:val="004E7622"/>
    <w:rsid w:val="004E7F63"/>
    <w:rsid w:val="00502096"/>
    <w:rsid w:val="00506234"/>
    <w:rsid w:val="005079E2"/>
    <w:rsid w:val="00513254"/>
    <w:rsid w:val="00514A39"/>
    <w:rsid w:val="00520991"/>
    <w:rsid w:val="00521483"/>
    <w:rsid w:val="00525BFB"/>
    <w:rsid w:val="00531836"/>
    <w:rsid w:val="0055249B"/>
    <w:rsid w:val="0055734C"/>
    <w:rsid w:val="0056550E"/>
    <w:rsid w:val="005716CF"/>
    <w:rsid w:val="005739CD"/>
    <w:rsid w:val="00577EB7"/>
    <w:rsid w:val="005813A8"/>
    <w:rsid w:val="00582060"/>
    <w:rsid w:val="00585767"/>
    <w:rsid w:val="0058798D"/>
    <w:rsid w:val="005958FA"/>
    <w:rsid w:val="00595ABA"/>
    <w:rsid w:val="005A646C"/>
    <w:rsid w:val="005B7B96"/>
    <w:rsid w:val="005C06E0"/>
    <w:rsid w:val="005C5274"/>
    <w:rsid w:val="005C6ECF"/>
    <w:rsid w:val="005D0571"/>
    <w:rsid w:val="005D05B6"/>
    <w:rsid w:val="005D07D1"/>
    <w:rsid w:val="005D10FB"/>
    <w:rsid w:val="005D22C5"/>
    <w:rsid w:val="005D3F64"/>
    <w:rsid w:val="005D56F7"/>
    <w:rsid w:val="005D7322"/>
    <w:rsid w:val="005F210E"/>
    <w:rsid w:val="005F2F70"/>
    <w:rsid w:val="00601EFF"/>
    <w:rsid w:val="006178F8"/>
    <w:rsid w:val="00620C0A"/>
    <w:rsid w:val="006218AB"/>
    <w:rsid w:val="00624453"/>
    <w:rsid w:val="00624D56"/>
    <w:rsid w:val="00626167"/>
    <w:rsid w:val="0062630C"/>
    <w:rsid w:val="00633789"/>
    <w:rsid w:val="0063437D"/>
    <w:rsid w:val="00644973"/>
    <w:rsid w:val="00654DAF"/>
    <w:rsid w:val="00654EDC"/>
    <w:rsid w:val="00655C86"/>
    <w:rsid w:val="0065731F"/>
    <w:rsid w:val="00661DB1"/>
    <w:rsid w:val="006648C7"/>
    <w:rsid w:val="00674412"/>
    <w:rsid w:val="006809CD"/>
    <w:rsid w:val="0069107D"/>
    <w:rsid w:val="00697751"/>
    <w:rsid w:val="006A4B37"/>
    <w:rsid w:val="006B0EBD"/>
    <w:rsid w:val="006B4E8A"/>
    <w:rsid w:val="006B5723"/>
    <w:rsid w:val="006C083B"/>
    <w:rsid w:val="006E5219"/>
    <w:rsid w:val="006F3853"/>
    <w:rsid w:val="00707CBF"/>
    <w:rsid w:val="0071377C"/>
    <w:rsid w:val="007225F7"/>
    <w:rsid w:val="00731F51"/>
    <w:rsid w:val="00742A39"/>
    <w:rsid w:val="0075281A"/>
    <w:rsid w:val="00760B1B"/>
    <w:rsid w:val="00760FCA"/>
    <w:rsid w:val="00762E15"/>
    <w:rsid w:val="00765543"/>
    <w:rsid w:val="00767651"/>
    <w:rsid w:val="00782B9B"/>
    <w:rsid w:val="00787696"/>
    <w:rsid w:val="00792015"/>
    <w:rsid w:val="007B0432"/>
    <w:rsid w:val="007B203C"/>
    <w:rsid w:val="007B27A3"/>
    <w:rsid w:val="007C0EC9"/>
    <w:rsid w:val="007C3975"/>
    <w:rsid w:val="007D0CF5"/>
    <w:rsid w:val="007D3544"/>
    <w:rsid w:val="007E2321"/>
    <w:rsid w:val="007F3B5A"/>
    <w:rsid w:val="00833109"/>
    <w:rsid w:val="00846871"/>
    <w:rsid w:val="00855FE8"/>
    <w:rsid w:val="0086021B"/>
    <w:rsid w:val="0086406A"/>
    <w:rsid w:val="008659EF"/>
    <w:rsid w:val="00867314"/>
    <w:rsid w:val="008702B8"/>
    <w:rsid w:val="008901B0"/>
    <w:rsid w:val="008A7D99"/>
    <w:rsid w:val="008B0BE5"/>
    <w:rsid w:val="008D63A4"/>
    <w:rsid w:val="008D76D6"/>
    <w:rsid w:val="008E08A6"/>
    <w:rsid w:val="008E664F"/>
    <w:rsid w:val="008F274E"/>
    <w:rsid w:val="00913F67"/>
    <w:rsid w:val="00916004"/>
    <w:rsid w:val="0092702E"/>
    <w:rsid w:val="00933547"/>
    <w:rsid w:val="00951DC0"/>
    <w:rsid w:val="0095531B"/>
    <w:rsid w:val="009553DD"/>
    <w:rsid w:val="0095660B"/>
    <w:rsid w:val="009623DC"/>
    <w:rsid w:val="00963F0D"/>
    <w:rsid w:val="00970EBB"/>
    <w:rsid w:val="00977BBE"/>
    <w:rsid w:val="00982CF2"/>
    <w:rsid w:val="009970B5"/>
    <w:rsid w:val="009A154C"/>
    <w:rsid w:val="009A4E3E"/>
    <w:rsid w:val="009B2013"/>
    <w:rsid w:val="009C6BA7"/>
    <w:rsid w:val="009D46E5"/>
    <w:rsid w:val="009F02ED"/>
    <w:rsid w:val="009F2562"/>
    <w:rsid w:val="009F318F"/>
    <w:rsid w:val="00A11C08"/>
    <w:rsid w:val="00A23D0B"/>
    <w:rsid w:val="00A254C4"/>
    <w:rsid w:val="00A26492"/>
    <w:rsid w:val="00A2786D"/>
    <w:rsid w:val="00A27E45"/>
    <w:rsid w:val="00A3224F"/>
    <w:rsid w:val="00A36BD9"/>
    <w:rsid w:val="00A4146E"/>
    <w:rsid w:val="00A444FE"/>
    <w:rsid w:val="00A449E7"/>
    <w:rsid w:val="00A531E5"/>
    <w:rsid w:val="00A6738A"/>
    <w:rsid w:val="00A7086B"/>
    <w:rsid w:val="00A73270"/>
    <w:rsid w:val="00A74171"/>
    <w:rsid w:val="00A9118B"/>
    <w:rsid w:val="00A919DD"/>
    <w:rsid w:val="00A92537"/>
    <w:rsid w:val="00A9783A"/>
    <w:rsid w:val="00A97EF1"/>
    <w:rsid w:val="00AA4FB7"/>
    <w:rsid w:val="00AB3BED"/>
    <w:rsid w:val="00AB5EFE"/>
    <w:rsid w:val="00AC52FB"/>
    <w:rsid w:val="00AC5C02"/>
    <w:rsid w:val="00AE0064"/>
    <w:rsid w:val="00AE1BAB"/>
    <w:rsid w:val="00AE41FF"/>
    <w:rsid w:val="00AE6C66"/>
    <w:rsid w:val="00AF18A8"/>
    <w:rsid w:val="00B03B5F"/>
    <w:rsid w:val="00B07EB7"/>
    <w:rsid w:val="00B07F40"/>
    <w:rsid w:val="00B16E48"/>
    <w:rsid w:val="00B17F24"/>
    <w:rsid w:val="00B2738F"/>
    <w:rsid w:val="00B301F1"/>
    <w:rsid w:val="00B32F0B"/>
    <w:rsid w:val="00B46C50"/>
    <w:rsid w:val="00B50681"/>
    <w:rsid w:val="00B67740"/>
    <w:rsid w:val="00B84870"/>
    <w:rsid w:val="00BA00E2"/>
    <w:rsid w:val="00BB5818"/>
    <w:rsid w:val="00BB6041"/>
    <w:rsid w:val="00BB629E"/>
    <w:rsid w:val="00BC5618"/>
    <w:rsid w:val="00BD6245"/>
    <w:rsid w:val="00BD6CF3"/>
    <w:rsid w:val="00BE244B"/>
    <w:rsid w:val="00BE3751"/>
    <w:rsid w:val="00BF4D76"/>
    <w:rsid w:val="00C0052D"/>
    <w:rsid w:val="00C0297A"/>
    <w:rsid w:val="00C065FB"/>
    <w:rsid w:val="00C1050D"/>
    <w:rsid w:val="00C1629A"/>
    <w:rsid w:val="00C21FE3"/>
    <w:rsid w:val="00C24509"/>
    <w:rsid w:val="00C31A91"/>
    <w:rsid w:val="00C46AFB"/>
    <w:rsid w:val="00C5125C"/>
    <w:rsid w:val="00C5135A"/>
    <w:rsid w:val="00C5724E"/>
    <w:rsid w:val="00C64131"/>
    <w:rsid w:val="00C727B4"/>
    <w:rsid w:val="00C75269"/>
    <w:rsid w:val="00C8148A"/>
    <w:rsid w:val="00C84A6D"/>
    <w:rsid w:val="00C908D4"/>
    <w:rsid w:val="00C910D9"/>
    <w:rsid w:val="00C95A4E"/>
    <w:rsid w:val="00CA19D1"/>
    <w:rsid w:val="00CA621F"/>
    <w:rsid w:val="00CA7AFB"/>
    <w:rsid w:val="00CB5CB3"/>
    <w:rsid w:val="00CC2F73"/>
    <w:rsid w:val="00CD5E1A"/>
    <w:rsid w:val="00CD6E1D"/>
    <w:rsid w:val="00CE1A53"/>
    <w:rsid w:val="00CE29B9"/>
    <w:rsid w:val="00CE3788"/>
    <w:rsid w:val="00CF5300"/>
    <w:rsid w:val="00D00500"/>
    <w:rsid w:val="00D03315"/>
    <w:rsid w:val="00D10E98"/>
    <w:rsid w:val="00D217E0"/>
    <w:rsid w:val="00D34603"/>
    <w:rsid w:val="00D3466E"/>
    <w:rsid w:val="00D34A4A"/>
    <w:rsid w:val="00D668DD"/>
    <w:rsid w:val="00D75C6A"/>
    <w:rsid w:val="00D765B0"/>
    <w:rsid w:val="00D76FC0"/>
    <w:rsid w:val="00D85FAC"/>
    <w:rsid w:val="00D92438"/>
    <w:rsid w:val="00D92C9B"/>
    <w:rsid w:val="00D94E47"/>
    <w:rsid w:val="00DA21F4"/>
    <w:rsid w:val="00DA3EBE"/>
    <w:rsid w:val="00DA4033"/>
    <w:rsid w:val="00DA5411"/>
    <w:rsid w:val="00DA646A"/>
    <w:rsid w:val="00DA7207"/>
    <w:rsid w:val="00DA7C50"/>
    <w:rsid w:val="00DB3FE1"/>
    <w:rsid w:val="00DB48F0"/>
    <w:rsid w:val="00DC070B"/>
    <w:rsid w:val="00DC666E"/>
    <w:rsid w:val="00DC6BD6"/>
    <w:rsid w:val="00DD0BB9"/>
    <w:rsid w:val="00DD131D"/>
    <w:rsid w:val="00DE0FAE"/>
    <w:rsid w:val="00DE4BB4"/>
    <w:rsid w:val="00DE75E9"/>
    <w:rsid w:val="00DF2DE1"/>
    <w:rsid w:val="00E03B7A"/>
    <w:rsid w:val="00E06C92"/>
    <w:rsid w:val="00E13CD1"/>
    <w:rsid w:val="00E1692E"/>
    <w:rsid w:val="00E357E2"/>
    <w:rsid w:val="00E42652"/>
    <w:rsid w:val="00E431EC"/>
    <w:rsid w:val="00E548D7"/>
    <w:rsid w:val="00E64CEE"/>
    <w:rsid w:val="00E66ACF"/>
    <w:rsid w:val="00E81C78"/>
    <w:rsid w:val="00E852B3"/>
    <w:rsid w:val="00E94AD8"/>
    <w:rsid w:val="00E94BD0"/>
    <w:rsid w:val="00E958CD"/>
    <w:rsid w:val="00EC3A75"/>
    <w:rsid w:val="00EC5913"/>
    <w:rsid w:val="00ED0297"/>
    <w:rsid w:val="00ED0715"/>
    <w:rsid w:val="00ED0F94"/>
    <w:rsid w:val="00EE772B"/>
    <w:rsid w:val="00F00588"/>
    <w:rsid w:val="00F14A1E"/>
    <w:rsid w:val="00F1583E"/>
    <w:rsid w:val="00F27166"/>
    <w:rsid w:val="00F324C2"/>
    <w:rsid w:val="00F34193"/>
    <w:rsid w:val="00F36DB1"/>
    <w:rsid w:val="00F424B4"/>
    <w:rsid w:val="00F42B7C"/>
    <w:rsid w:val="00F46BB9"/>
    <w:rsid w:val="00F630DE"/>
    <w:rsid w:val="00F659DF"/>
    <w:rsid w:val="00F72D8B"/>
    <w:rsid w:val="00F80BCC"/>
    <w:rsid w:val="00F93D5B"/>
    <w:rsid w:val="00FA1BFE"/>
    <w:rsid w:val="00FB23E7"/>
    <w:rsid w:val="00FD2DBA"/>
    <w:rsid w:val="00FD7EE4"/>
    <w:rsid w:val="00FE0843"/>
    <w:rsid w:val="00FE34B5"/>
    <w:rsid w:val="00FE6741"/>
    <w:rsid w:val="00FF6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0D"/>
    <w:pPr>
      <w:spacing w:after="240"/>
      <w:jc w:val="both"/>
    </w:pPr>
    <w:rPr>
      <w:sz w:val="26"/>
      <w:lang w:eastAsia="en-US"/>
    </w:rPr>
  </w:style>
  <w:style w:type="paragraph" w:styleId="Heading1">
    <w:name w:val="heading 1"/>
    <w:basedOn w:val="Normal"/>
    <w:next w:val="Normal"/>
    <w:qFormat/>
    <w:pPr>
      <w:keepNext/>
      <w:spacing w:before="240" w:after="120"/>
      <w:jc w:val="center"/>
      <w:outlineLvl w:val="0"/>
    </w:pPr>
    <w:rPr>
      <w:b/>
      <w:kern w:val="28"/>
      <w:sz w:val="40"/>
    </w:rPr>
  </w:style>
  <w:style w:type="paragraph" w:styleId="Heading2">
    <w:name w:val="heading 2"/>
    <w:basedOn w:val="Normal"/>
    <w:next w:val="Normal"/>
    <w:qFormat/>
    <w:pPr>
      <w:keepNext/>
      <w:spacing w:before="120" w:after="120"/>
      <w:jc w:val="center"/>
      <w:outlineLvl w:val="1"/>
    </w:pPr>
    <w:rPr>
      <w:b/>
      <w:sz w:val="36"/>
    </w:rPr>
  </w:style>
  <w:style w:type="paragraph" w:styleId="Heading3">
    <w:name w:val="heading 3"/>
    <w:basedOn w:val="Normal"/>
    <w:next w:val="Normal"/>
    <w:qFormat/>
    <w:pPr>
      <w:keepNext/>
      <w:spacing w:before="120" w:after="120"/>
      <w:outlineLvl w:val="2"/>
    </w:pPr>
    <w:rPr>
      <w:b/>
      <w:sz w:val="28"/>
    </w:rPr>
  </w:style>
  <w:style w:type="paragraph" w:styleId="Heading4">
    <w:name w:val="heading 4"/>
    <w:basedOn w:val="Normal"/>
    <w:next w:val="Normal"/>
    <w:qFormat/>
    <w:rsid w:val="000A2EBF"/>
    <w:pPr>
      <w:keepNext/>
      <w:numPr>
        <w:ilvl w:val="3"/>
        <w:numId w:val="32"/>
      </w:numPr>
      <w:outlineLvl w:val="3"/>
    </w:pPr>
    <w:rPr>
      <w:b/>
      <w:i/>
    </w:rPr>
  </w:style>
  <w:style w:type="paragraph" w:styleId="Heading5">
    <w:name w:val="heading 5"/>
    <w:basedOn w:val="Normal"/>
    <w:next w:val="Normal"/>
    <w:qFormat/>
    <w:rsid w:val="000A2EBF"/>
    <w:pPr>
      <w:keepNext/>
      <w:numPr>
        <w:ilvl w:val="4"/>
        <w:numId w:val="32"/>
      </w:numPr>
      <w:jc w:val="left"/>
      <w:outlineLvl w:val="4"/>
    </w:pPr>
    <w:rPr>
      <w:i/>
    </w:rPr>
  </w:style>
  <w:style w:type="paragraph" w:styleId="Heading6">
    <w:name w:val="heading 6"/>
    <w:basedOn w:val="Normal"/>
    <w:next w:val="Normal"/>
    <w:qFormat/>
    <w:locked/>
    <w:rsid w:val="000A2EBF"/>
    <w:pPr>
      <w:numPr>
        <w:ilvl w:val="5"/>
        <w:numId w:val="32"/>
      </w:numPr>
      <w:spacing w:before="240" w:after="60"/>
      <w:outlineLvl w:val="5"/>
    </w:pPr>
    <w:rPr>
      <w:i/>
      <w:sz w:val="22"/>
    </w:rPr>
  </w:style>
  <w:style w:type="paragraph" w:styleId="Heading7">
    <w:name w:val="heading 7"/>
    <w:basedOn w:val="Normal"/>
    <w:next w:val="Normal"/>
    <w:qFormat/>
    <w:locked/>
    <w:rsid w:val="000A2EB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0A2EB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0A2EBF"/>
    <w:pPr>
      <w:numPr>
        <w:ilvl w:val="8"/>
        <w:numId w:val="3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evel1">
    <w:name w:val="Level1"/>
    <w:basedOn w:val="Normal"/>
    <w:rsid w:val="000A2EBF"/>
    <w:pPr>
      <w:numPr>
        <w:numId w:val="32"/>
      </w:numPr>
    </w:pPr>
  </w:style>
  <w:style w:type="paragraph" w:customStyle="1" w:styleId="Level2">
    <w:name w:val="Level2"/>
    <w:basedOn w:val="Normal"/>
    <w:rsid w:val="000A2EBF"/>
    <w:pPr>
      <w:numPr>
        <w:ilvl w:val="1"/>
        <w:numId w:val="32"/>
      </w:numPr>
    </w:pPr>
  </w:style>
  <w:style w:type="paragraph" w:customStyle="1" w:styleId="Level3">
    <w:name w:val="Level3"/>
    <w:basedOn w:val="Normal"/>
    <w:link w:val="Level3Char"/>
    <w:rsid w:val="000A2EB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semiHidden/>
    <w:rPr>
      <w:vertAlign w:val="superscript"/>
    </w:rPr>
  </w:style>
  <w:style w:type="paragraph" w:styleId="Header">
    <w:name w:val="header"/>
    <w:basedOn w:val="Normal"/>
    <w:semiHidden/>
    <w:pPr>
      <w:tabs>
        <w:tab w:val="center" w:pos="8306"/>
      </w:tabs>
    </w:pPr>
    <w:rPr>
      <w:sz w:val="22"/>
    </w:rPr>
  </w:style>
  <w:style w:type="paragraph" w:styleId="Footer">
    <w:name w:val="footer"/>
    <w:basedOn w:val="Normal"/>
    <w:link w:val="FooterChar"/>
    <w:uiPriority w:val="99"/>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pPr>
      <w:ind w:left="851" w:right="799"/>
    </w:pPr>
  </w:style>
  <w:style w:type="paragraph" w:styleId="Quote">
    <w:name w:val="Quote"/>
    <w:basedOn w:val="Indent"/>
    <w:qFormat/>
    <w:rsid w:val="005D07D1"/>
    <w:pPr>
      <w:ind w:right="851"/>
    </w:pPr>
    <w:rPr>
      <w:sz w:val="24"/>
    </w:rPr>
  </w:style>
  <w:style w:type="paragraph" w:customStyle="1" w:styleId="REC">
    <w:name w:val="REC"/>
    <w:basedOn w:val="Normal"/>
    <w:rPr>
      <w:b/>
    </w:rPr>
  </w:style>
  <w:style w:type="character" w:styleId="PageNumber">
    <w:name w:val="page number"/>
    <w:basedOn w:val="DefaultParagraphFont"/>
    <w:semiHidden/>
    <w:locked/>
  </w:style>
  <w:style w:type="paragraph" w:styleId="Caption">
    <w:name w:val="caption"/>
    <w:basedOn w:val="Normal"/>
    <w:next w:val="Normal"/>
    <w:qFormat/>
    <w:locked/>
    <w:pPr>
      <w:spacing w:before="120" w:after="120"/>
    </w:pPr>
    <w:rPr>
      <w:i/>
    </w:rPr>
  </w:style>
  <w:style w:type="paragraph" w:styleId="EndnoteText">
    <w:name w:val="endnote text"/>
    <w:basedOn w:val="Normal"/>
    <w:semiHidden/>
    <w:locked/>
    <w:rPr>
      <w:sz w:val="20"/>
    </w:rPr>
  </w:style>
  <w:style w:type="character" w:styleId="EndnoteReference">
    <w:name w:val="endnote reference"/>
    <w:semiHidden/>
    <w:locked/>
    <w:rPr>
      <w:vertAlign w:val="superscript"/>
    </w:rPr>
  </w:style>
  <w:style w:type="paragraph" w:styleId="TOC1">
    <w:name w:val="toc 1"/>
    <w:basedOn w:val="Normal"/>
    <w:next w:val="Normal"/>
    <w:semiHidden/>
    <w:pPr>
      <w:spacing w:before="240" w:after="120"/>
    </w:pPr>
    <w:rPr>
      <w:rFonts w:ascii="Times" w:hAnsi="Times"/>
      <w:b/>
      <w:sz w:val="28"/>
      <w:szCs w:val="28"/>
    </w:rPr>
  </w:style>
  <w:style w:type="paragraph" w:styleId="TOC2">
    <w:name w:val="toc 2"/>
    <w:basedOn w:val="Normal"/>
    <w:next w:val="Normal"/>
    <w:semiHidden/>
    <w:pPr>
      <w:spacing w:after="120"/>
      <w:ind w:left="261"/>
    </w:pPr>
    <w:rPr>
      <w:rFonts w:ascii="Times" w:hAnsi="Times"/>
      <w:b/>
      <w:szCs w:val="26"/>
    </w:rPr>
  </w:style>
  <w:style w:type="paragraph" w:styleId="TOC3">
    <w:name w:val="toc 3"/>
    <w:basedOn w:val="Normal"/>
    <w:next w:val="Normal"/>
    <w:semiHidden/>
    <w:pPr>
      <w:spacing w:after="60"/>
      <w:ind w:left="522"/>
    </w:pPr>
    <w:rPr>
      <w:rFonts w:ascii="Times" w:hAnsi="Times"/>
      <w:szCs w:val="26"/>
    </w:rPr>
  </w:style>
  <w:style w:type="paragraph" w:styleId="TOC4">
    <w:name w:val="toc 4"/>
    <w:basedOn w:val="Normal"/>
    <w:next w:val="Normal"/>
    <w:semiHidden/>
    <w:locked/>
    <w:pPr>
      <w:spacing w:after="60"/>
      <w:ind w:left="720"/>
    </w:pPr>
    <w:rPr>
      <w:rFonts w:ascii="Times" w:hAnsi="Times"/>
      <w:szCs w:val="26"/>
    </w:rPr>
  </w:style>
  <w:style w:type="paragraph" w:styleId="TOC5">
    <w:name w:val="toc 5"/>
    <w:basedOn w:val="Normal"/>
    <w:next w:val="Normal"/>
    <w:semiHidden/>
    <w:locked/>
    <w:pPr>
      <w:spacing w:after="60"/>
      <w:ind w:left="958"/>
    </w:pPr>
    <w:rPr>
      <w:rFonts w:ascii="Times" w:hAnsi="Times"/>
      <w:szCs w:val="26"/>
    </w:rPr>
  </w:style>
  <w:style w:type="paragraph" w:styleId="TOC6">
    <w:name w:val="toc 6"/>
    <w:basedOn w:val="Normal"/>
    <w:next w:val="Normal"/>
    <w:semiHidden/>
    <w:locked/>
    <w:pPr>
      <w:ind w:left="1200"/>
    </w:pPr>
  </w:style>
  <w:style w:type="paragraph" w:styleId="TOC7">
    <w:name w:val="toc 7"/>
    <w:basedOn w:val="Normal"/>
    <w:next w:val="Normal"/>
    <w:semiHidden/>
    <w:locked/>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pPr>
      <w:numPr>
        <w:numId w:val="1"/>
      </w:numPr>
    </w:pPr>
  </w:style>
  <w:style w:type="numbering" w:styleId="1ai">
    <w:name w:val="Outline List 1"/>
    <w:basedOn w:val="NoList"/>
    <w:semiHidden/>
    <w:locked/>
    <w:pPr>
      <w:numPr>
        <w:numId w:val="2"/>
      </w:numPr>
    </w:pPr>
  </w:style>
  <w:style w:type="numbering" w:styleId="ArticleSection">
    <w:name w:val="Outline List 3"/>
    <w:basedOn w:val="NoList"/>
    <w:semiHidden/>
    <w:locked/>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locked/>
    <w:pPr>
      <w:spacing w:after="120"/>
      <w:ind w:left="1440" w:right="1440"/>
    </w:pPr>
  </w:style>
  <w:style w:type="paragraph" w:styleId="BodyText">
    <w:name w:val="Body Text"/>
    <w:basedOn w:val="Normal"/>
    <w:semiHidden/>
    <w:locked/>
    <w:pPr>
      <w:spacing w:after="120"/>
    </w:pPr>
  </w:style>
  <w:style w:type="paragraph" w:styleId="BodyText2">
    <w:name w:val="Body Text 2"/>
    <w:basedOn w:val="Normal"/>
    <w:semiHidden/>
    <w:locked/>
    <w:pPr>
      <w:spacing w:after="120" w:line="480" w:lineRule="auto"/>
    </w:pPr>
  </w:style>
  <w:style w:type="paragraph" w:styleId="BodyText3">
    <w:name w:val="Body Text 3"/>
    <w:basedOn w:val="Normal"/>
    <w:semiHidden/>
    <w:locked/>
    <w:pPr>
      <w:spacing w:after="120"/>
    </w:pPr>
    <w:rPr>
      <w:sz w:val="16"/>
      <w:szCs w:val="16"/>
    </w:rPr>
  </w:style>
  <w:style w:type="paragraph" w:styleId="BodyTextFirstIndent">
    <w:name w:val="Body Text First Indent"/>
    <w:basedOn w:val="BodyText"/>
    <w:semiHidden/>
    <w:locked/>
    <w:pPr>
      <w:ind w:firstLine="210"/>
    </w:pPr>
  </w:style>
  <w:style w:type="paragraph" w:styleId="BodyTextIndent">
    <w:name w:val="Body Text Indent"/>
    <w:basedOn w:val="Normal"/>
    <w:semiHidden/>
    <w:locked/>
    <w:pPr>
      <w:spacing w:after="120"/>
      <w:ind w:left="283"/>
    </w:pPr>
  </w:style>
  <w:style w:type="paragraph" w:styleId="BodyTextFirstIndent2">
    <w:name w:val="Body Text First Indent 2"/>
    <w:basedOn w:val="BodyTextIndent"/>
    <w:semiHidden/>
    <w:locked/>
    <w:pPr>
      <w:ind w:firstLine="210"/>
    </w:pPr>
  </w:style>
  <w:style w:type="paragraph" w:styleId="BodyTextIndent2">
    <w:name w:val="Body Text Indent 2"/>
    <w:basedOn w:val="Normal"/>
    <w:semiHidden/>
    <w:locked/>
    <w:pPr>
      <w:spacing w:after="120" w:line="480" w:lineRule="auto"/>
      <w:ind w:left="283"/>
    </w:pPr>
  </w:style>
  <w:style w:type="paragraph" w:styleId="BodyTextIndent3">
    <w:name w:val="Body Text Indent 3"/>
    <w:basedOn w:val="Normal"/>
    <w:semiHidden/>
    <w:locked/>
    <w:pPr>
      <w:spacing w:after="120"/>
      <w:ind w:left="283"/>
    </w:pPr>
    <w:rPr>
      <w:sz w:val="16"/>
      <w:szCs w:val="16"/>
    </w:rPr>
  </w:style>
  <w:style w:type="paragraph" w:styleId="Closing">
    <w:name w:val="Closing"/>
    <w:basedOn w:val="Normal"/>
    <w:semiHidden/>
    <w:locked/>
    <w:pPr>
      <w:ind w:left="4252"/>
    </w:p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Date">
    <w:name w:val="Date"/>
    <w:basedOn w:val="Normal"/>
    <w:next w:val="Normal"/>
    <w:semiHidden/>
    <w:locked/>
  </w:style>
  <w:style w:type="paragraph" w:styleId="DocumentMap">
    <w:name w:val="Document Map"/>
    <w:basedOn w:val="Normal"/>
    <w:semiHidden/>
    <w:locked/>
    <w:pPr>
      <w:shd w:val="clear" w:color="auto" w:fill="000080"/>
    </w:pPr>
    <w:rPr>
      <w:rFonts w:ascii="Tahoma" w:hAnsi="Tahoma" w:cs="Tahoma"/>
      <w:sz w:val="20"/>
    </w:rPr>
  </w:style>
  <w:style w:type="paragraph" w:styleId="E-mailSignature">
    <w:name w:val="E-mail Signature"/>
    <w:basedOn w:val="Normal"/>
    <w:semiHidden/>
    <w:locked/>
  </w:style>
  <w:style w:type="character" w:styleId="Emphasis">
    <w:name w:val="Emphasis"/>
    <w:qFormat/>
    <w:locked/>
    <w:rPr>
      <w:i/>
      <w:iCs/>
    </w:rPr>
  </w:style>
  <w:style w:type="paragraph" w:styleId="EnvelopeAddress">
    <w:name w:val="envelope address"/>
    <w:basedOn w:val="Normal"/>
    <w:semiHidden/>
    <w:locke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Pr>
      <w:rFonts w:ascii="Arial" w:hAnsi="Arial" w:cs="Arial"/>
      <w:sz w:val="20"/>
    </w:rPr>
  </w:style>
  <w:style w:type="character" w:styleId="FollowedHyperlink">
    <w:name w:val="FollowedHyperlink"/>
    <w:semiHidden/>
    <w:locked/>
    <w:rPr>
      <w:color w:val="800080"/>
      <w:u w:val="single"/>
    </w:rPr>
  </w:style>
  <w:style w:type="character" w:styleId="HTMLAcronym">
    <w:name w:val="HTML Acronym"/>
    <w:basedOn w:val="DefaultParagraphFont"/>
    <w:semiHidden/>
    <w:locked/>
  </w:style>
  <w:style w:type="paragraph" w:styleId="HTMLAddress">
    <w:name w:val="HTML Address"/>
    <w:basedOn w:val="Normal"/>
    <w:semiHidden/>
    <w:locked/>
    <w:rPr>
      <w:i/>
      <w:iCs/>
    </w:rPr>
  </w:style>
  <w:style w:type="character" w:styleId="HTMLCite">
    <w:name w:val="HTML Cite"/>
    <w:semiHidden/>
    <w:locked/>
    <w:rPr>
      <w:i/>
      <w:iCs/>
    </w:rPr>
  </w:style>
  <w:style w:type="character" w:styleId="HTMLCode">
    <w:name w:val="HTML Code"/>
    <w:semiHidden/>
    <w:locked/>
    <w:rPr>
      <w:rFonts w:ascii="Courier New" w:hAnsi="Courier New" w:cs="Courier New"/>
      <w:sz w:val="20"/>
      <w:szCs w:val="20"/>
    </w:rPr>
  </w:style>
  <w:style w:type="character" w:styleId="HTMLDefinition">
    <w:name w:val="HTML Definition"/>
    <w:semiHidden/>
    <w:locked/>
    <w:rPr>
      <w:i/>
      <w:iCs/>
    </w:rPr>
  </w:style>
  <w:style w:type="character" w:styleId="HTMLKeyboard">
    <w:name w:val="HTML Keyboard"/>
    <w:semiHidden/>
    <w:locked/>
    <w:rPr>
      <w:rFonts w:ascii="Courier New" w:hAnsi="Courier New" w:cs="Courier New"/>
      <w:sz w:val="20"/>
      <w:szCs w:val="20"/>
    </w:rPr>
  </w:style>
  <w:style w:type="paragraph" w:styleId="HTMLPreformatted">
    <w:name w:val="HTML Preformatted"/>
    <w:basedOn w:val="Normal"/>
    <w:semiHidden/>
    <w:locked/>
    <w:rPr>
      <w:rFonts w:ascii="Courier New" w:hAnsi="Courier New" w:cs="Courier New"/>
      <w:sz w:val="20"/>
    </w:rPr>
  </w:style>
  <w:style w:type="character" w:styleId="HTMLSample">
    <w:name w:val="HTML Sample"/>
    <w:semiHidden/>
    <w:locked/>
    <w:rPr>
      <w:rFonts w:ascii="Courier New" w:hAnsi="Courier New" w:cs="Courier New"/>
    </w:rPr>
  </w:style>
  <w:style w:type="character" w:styleId="HTMLTypewriter">
    <w:name w:val="HTML Typewriter"/>
    <w:semiHidden/>
    <w:locked/>
    <w:rPr>
      <w:rFonts w:ascii="Courier New" w:hAnsi="Courier New" w:cs="Courier New"/>
      <w:sz w:val="20"/>
      <w:szCs w:val="20"/>
    </w:rPr>
  </w:style>
  <w:style w:type="character" w:styleId="HTMLVariable">
    <w:name w:val="HTML Variable"/>
    <w:semiHidden/>
    <w:locked/>
    <w:rPr>
      <w:i/>
      <w:iCs/>
    </w:rPr>
  </w:style>
  <w:style w:type="character" w:styleId="Hyperlink">
    <w:name w:val="Hyperlink"/>
    <w:rPr>
      <w:color w:val="0000FF"/>
      <w:u w:val="single"/>
    </w:rPr>
  </w:style>
  <w:style w:type="paragraph" w:styleId="Index1">
    <w:name w:val="index 1"/>
    <w:basedOn w:val="Normal"/>
    <w:next w:val="Normal"/>
    <w:semiHidden/>
    <w:locked/>
    <w:pPr>
      <w:ind w:left="260" w:hanging="260"/>
    </w:pPr>
  </w:style>
  <w:style w:type="paragraph" w:styleId="Index2">
    <w:name w:val="index 2"/>
    <w:basedOn w:val="Normal"/>
    <w:next w:val="Normal"/>
    <w:semiHidden/>
    <w:locked/>
    <w:pPr>
      <w:ind w:left="520" w:hanging="260"/>
    </w:pPr>
  </w:style>
  <w:style w:type="paragraph" w:styleId="Index3">
    <w:name w:val="index 3"/>
    <w:basedOn w:val="Normal"/>
    <w:next w:val="Normal"/>
    <w:semiHidden/>
    <w:locked/>
    <w:pPr>
      <w:ind w:left="780" w:hanging="260"/>
    </w:pPr>
  </w:style>
  <w:style w:type="paragraph" w:styleId="Index4">
    <w:name w:val="index 4"/>
    <w:basedOn w:val="Normal"/>
    <w:next w:val="Normal"/>
    <w:semiHidden/>
    <w:locked/>
    <w:pPr>
      <w:ind w:left="1040" w:hanging="260"/>
    </w:pPr>
  </w:style>
  <w:style w:type="paragraph" w:styleId="Index5">
    <w:name w:val="index 5"/>
    <w:basedOn w:val="Normal"/>
    <w:next w:val="Normal"/>
    <w:semiHidden/>
    <w:locked/>
    <w:pPr>
      <w:ind w:left="1300" w:hanging="260"/>
    </w:pPr>
  </w:style>
  <w:style w:type="paragraph" w:styleId="Index6">
    <w:name w:val="index 6"/>
    <w:basedOn w:val="Normal"/>
    <w:next w:val="Normal"/>
    <w:semiHidden/>
    <w:locked/>
    <w:pPr>
      <w:ind w:left="1560" w:hanging="260"/>
    </w:pPr>
  </w:style>
  <w:style w:type="paragraph" w:styleId="Index7">
    <w:name w:val="index 7"/>
    <w:basedOn w:val="Normal"/>
    <w:next w:val="Normal"/>
    <w:semiHidden/>
    <w:locked/>
    <w:pPr>
      <w:ind w:left="1820" w:hanging="260"/>
    </w:pPr>
  </w:style>
  <w:style w:type="paragraph" w:styleId="Index8">
    <w:name w:val="index 8"/>
    <w:basedOn w:val="Normal"/>
    <w:next w:val="Normal"/>
    <w:semiHidden/>
    <w:locked/>
    <w:pPr>
      <w:ind w:left="2080" w:hanging="260"/>
    </w:pPr>
  </w:style>
  <w:style w:type="paragraph" w:styleId="Index9">
    <w:name w:val="index 9"/>
    <w:basedOn w:val="Normal"/>
    <w:next w:val="Normal"/>
    <w:semiHidden/>
    <w:locked/>
    <w:pPr>
      <w:ind w:left="2340" w:hanging="260"/>
    </w:pPr>
  </w:style>
  <w:style w:type="paragraph" w:styleId="IndexHeading">
    <w:name w:val="index heading"/>
    <w:basedOn w:val="Normal"/>
    <w:next w:val="Index1"/>
    <w:semiHidden/>
    <w:locked/>
    <w:rPr>
      <w:rFonts w:ascii="Arial" w:hAnsi="Arial" w:cs="Arial"/>
      <w:b/>
      <w:bCs/>
    </w:rPr>
  </w:style>
  <w:style w:type="character" w:styleId="LineNumber">
    <w:name w:val="line number"/>
    <w:basedOn w:val="DefaultParagraphFont"/>
    <w:semiHidden/>
    <w:locked/>
  </w:style>
  <w:style w:type="paragraph" w:styleId="List">
    <w:name w:val="List"/>
    <w:basedOn w:val="Normal"/>
    <w:semiHidden/>
    <w:locked/>
    <w:pPr>
      <w:ind w:left="283" w:hanging="283"/>
    </w:pPr>
  </w:style>
  <w:style w:type="paragraph" w:styleId="List2">
    <w:name w:val="List 2"/>
    <w:basedOn w:val="Normal"/>
    <w:semiHidden/>
    <w:locked/>
    <w:pPr>
      <w:ind w:left="566" w:hanging="283"/>
    </w:pPr>
  </w:style>
  <w:style w:type="paragraph" w:styleId="List3">
    <w:name w:val="List 3"/>
    <w:basedOn w:val="Normal"/>
    <w:semiHidden/>
    <w:locked/>
    <w:pPr>
      <w:ind w:left="849" w:hanging="283"/>
    </w:pPr>
  </w:style>
  <w:style w:type="paragraph" w:styleId="List4">
    <w:name w:val="List 4"/>
    <w:basedOn w:val="Normal"/>
    <w:semiHidden/>
    <w:locked/>
    <w:pPr>
      <w:ind w:left="1132" w:hanging="283"/>
    </w:pPr>
  </w:style>
  <w:style w:type="paragraph" w:styleId="List5">
    <w:name w:val="List 5"/>
    <w:basedOn w:val="Normal"/>
    <w:semiHidden/>
    <w:locked/>
    <w:pPr>
      <w:ind w:left="1415" w:hanging="283"/>
    </w:pPr>
  </w:style>
  <w:style w:type="paragraph" w:styleId="ListBullet">
    <w:name w:val="List Bullet"/>
    <w:basedOn w:val="Normal"/>
    <w:semiHidden/>
    <w:locked/>
    <w:pPr>
      <w:numPr>
        <w:numId w:val="7"/>
      </w:numPr>
    </w:pPr>
  </w:style>
  <w:style w:type="paragraph" w:styleId="ListBullet2">
    <w:name w:val="List Bullet 2"/>
    <w:basedOn w:val="Normal"/>
    <w:semiHidden/>
    <w:locked/>
    <w:pPr>
      <w:numPr>
        <w:numId w:val="8"/>
      </w:numPr>
    </w:pPr>
  </w:style>
  <w:style w:type="paragraph" w:styleId="ListBullet3">
    <w:name w:val="List Bullet 3"/>
    <w:basedOn w:val="Normal"/>
    <w:semiHidden/>
    <w:locked/>
    <w:pPr>
      <w:numPr>
        <w:numId w:val="9"/>
      </w:numPr>
    </w:pPr>
  </w:style>
  <w:style w:type="paragraph" w:styleId="ListBullet4">
    <w:name w:val="List Bullet 4"/>
    <w:basedOn w:val="Normal"/>
    <w:semiHidden/>
    <w:locked/>
    <w:pPr>
      <w:numPr>
        <w:numId w:val="10"/>
      </w:numPr>
    </w:pPr>
  </w:style>
  <w:style w:type="paragraph" w:styleId="ListBullet5">
    <w:name w:val="List Bullet 5"/>
    <w:basedOn w:val="Normal"/>
    <w:semiHidden/>
    <w:locked/>
    <w:pPr>
      <w:numPr>
        <w:numId w:val="11"/>
      </w:numPr>
    </w:pPr>
  </w:style>
  <w:style w:type="paragraph" w:styleId="ListContinue">
    <w:name w:val="List Continue"/>
    <w:basedOn w:val="Normal"/>
    <w:semiHidden/>
    <w:locked/>
    <w:pPr>
      <w:spacing w:after="120"/>
      <w:ind w:left="283"/>
    </w:pPr>
  </w:style>
  <w:style w:type="paragraph" w:styleId="ListContinue2">
    <w:name w:val="List Continue 2"/>
    <w:basedOn w:val="Normal"/>
    <w:semiHidden/>
    <w:locked/>
    <w:pPr>
      <w:spacing w:after="120"/>
      <w:ind w:left="566"/>
    </w:pPr>
  </w:style>
  <w:style w:type="paragraph" w:styleId="ListContinue3">
    <w:name w:val="List Continue 3"/>
    <w:basedOn w:val="Normal"/>
    <w:semiHidden/>
    <w:locked/>
    <w:pPr>
      <w:spacing w:after="120"/>
      <w:ind w:left="849"/>
    </w:pPr>
  </w:style>
  <w:style w:type="paragraph" w:styleId="ListContinue4">
    <w:name w:val="List Continue 4"/>
    <w:basedOn w:val="Normal"/>
    <w:semiHidden/>
    <w:locked/>
    <w:pPr>
      <w:spacing w:after="120"/>
      <w:ind w:left="1132"/>
    </w:pPr>
  </w:style>
  <w:style w:type="paragraph" w:styleId="ListContinue5">
    <w:name w:val="List Continue 5"/>
    <w:basedOn w:val="Normal"/>
    <w:semiHidden/>
    <w:locked/>
    <w:pPr>
      <w:spacing w:after="120"/>
      <w:ind w:left="1415"/>
    </w:pPr>
  </w:style>
  <w:style w:type="paragraph" w:styleId="ListNumber">
    <w:name w:val="List Number"/>
    <w:basedOn w:val="Normal"/>
    <w:semiHidden/>
    <w:locked/>
    <w:pPr>
      <w:numPr>
        <w:numId w:val="12"/>
      </w:numPr>
    </w:pPr>
  </w:style>
  <w:style w:type="paragraph" w:styleId="ListNumber2">
    <w:name w:val="List Number 2"/>
    <w:basedOn w:val="Normal"/>
    <w:semiHidden/>
    <w:locked/>
    <w:pPr>
      <w:numPr>
        <w:numId w:val="13"/>
      </w:numPr>
    </w:pPr>
  </w:style>
  <w:style w:type="paragraph" w:styleId="ListNumber3">
    <w:name w:val="List Number 3"/>
    <w:basedOn w:val="Normal"/>
    <w:semiHidden/>
    <w:locked/>
    <w:pPr>
      <w:numPr>
        <w:numId w:val="14"/>
      </w:numPr>
    </w:pPr>
  </w:style>
  <w:style w:type="paragraph" w:styleId="ListNumber4">
    <w:name w:val="List Number 4"/>
    <w:basedOn w:val="Normal"/>
    <w:semiHidden/>
    <w:locked/>
    <w:pPr>
      <w:numPr>
        <w:numId w:val="15"/>
      </w:numPr>
    </w:pPr>
  </w:style>
  <w:style w:type="paragraph" w:styleId="ListNumber5">
    <w:name w:val="List Number 5"/>
    <w:basedOn w:val="Normal"/>
    <w:semiHidden/>
    <w:locked/>
    <w:pPr>
      <w:numPr>
        <w:numId w:val="16"/>
      </w:numPr>
    </w:pPr>
  </w:style>
  <w:style w:type="paragraph" w:styleId="MacroText">
    <w:name w:val="macro"/>
    <w:semiHidden/>
    <w:lock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Pr>
      <w:sz w:val="24"/>
      <w:szCs w:val="24"/>
    </w:rPr>
  </w:style>
  <w:style w:type="paragraph" w:styleId="NormalIndent">
    <w:name w:val="Normal Indent"/>
    <w:basedOn w:val="Normal"/>
    <w:semiHidden/>
    <w:locked/>
    <w:pPr>
      <w:ind w:left="720"/>
    </w:pPr>
  </w:style>
  <w:style w:type="paragraph" w:styleId="NoteHeading">
    <w:name w:val="Note Heading"/>
    <w:basedOn w:val="Normal"/>
    <w:next w:val="Normal"/>
    <w:semiHidden/>
    <w:locked/>
  </w:style>
  <w:style w:type="paragraph" w:styleId="PlainText">
    <w:name w:val="Plain Text"/>
    <w:basedOn w:val="Normal"/>
    <w:semiHidden/>
    <w:locked/>
    <w:rPr>
      <w:rFonts w:ascii="Courier New" w:hAnsi="Courier New" w:cs="Courier New"/>
      <w:sz w:val="20"/>
    </w:rPr>
  </w:style>
  <w:style w:type="paragraph" w:styleId="Salutation">
    <w:name w:val="Salutation"/>
    <w:basedOn w:val="Normal"/>
    <w:next w:val="Normal"/>
    <w:semiHidden/>
    <w:locked/>
  </w:style>
  <w:style w:type="paragraph" w:styleId="Signature">
    <w:name w:val="Signature"/>
    <w:basedOn w:val="Normal"/>
    <w:semiHidden/>
    <w:locked/>
    <w:pPr>
      <w:ind w:left="4252"/>
    </w:pPr>
  </w:style>
  <w:style w:type="character" w:styleId="Strong">
    <w:name w:val="Strong"/>
    <w:qFormat/>
    <w:locked/>
    <w:rPr>
      <w:b/>
      <w:bCs/>
    </w:rPr>
  </w:style>
  <w:style w:type="paragraph" w:styleId="Subtitle">
    <w:name w:val="Subtitle"/>
    <w:basedOn w:val="Normal"/>
    <w:qFormat/>
    <w:locked/>
    <w:rsid w:val="00A6738A"/>
    <w:pPr>
      <w:spacing w:after="60"/>
      <w:jc w:val="center"/>
    </w:pPr>
    <w:rPr>
      <w:rFonts w:ascii="Arial" w:hAnsi="Arial" w:cs="Arial"/>
      <w:sz w:val="24"/>
      <w:szCs w:val="24"/>
    </w:rPr>
  </w:style>
  <w:style w:type="table" w:styleId="Table3Deffects1">
    <w:name w:val="Table 3D effects 1"/>
    <w:basedOn w:val="TableNormal"/>
    <w:semiHidden/>
    <w:lock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pPr>
      <w:ind w:left="260" w:hanging="260"/>
    </w:pPr>
  </w:style>
  <w:style w:type="paragraph" w:styleId="TableofFigures">
    <w:name w:val="table of figures"/>
    <w:basedOn w:val="Normal"/>
    <w:next w:val="Normal"/>
    <w:semiHidden/>
    <w:locked/>
  </w:style>
  <w:style w:type="table" w:styleId="TableProfessional">
    <w:name w:val="Table Professional"/>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pPr>
      <w:spacing w:before="120"/>
    </w:pPr>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link w:val="Level3"/>
    <w:rsid w:val="000A2EBF"/>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customStyle="1" w:styleId="JNP2">
    <w:name w:val="JNP2"/>
    <w:basedOn w:val="Normal"/>
    <w:rsid w:val="00C1050D"/>
    <w:pPr>
      <w:spacing w:after="0"/>
      <w:ind w:left="2268"/>
    </w:pPr>
    <w:rPr>
      <w:lang w:val="en-US"/>
    </w:rPr>
  </w:style>
  <w:style w:type="paragraph" w:customStyle="1" w:styleId="JNP3">
    <w:name w:val="JNP3"/>
    <w:basedOn w:val="JNP2"/>
    <w:rsid w:val="008659EF"/>
    <w:pPr>
      <w:tabs>
        <w:tab w:val="left" w:pos="3969"/>
      </w:tabs>
      <w:ind w:left="2552"/>
    </w:pPr>
    <w:rPr>
      <w:sz w:val="24"/>
      <w:lang w:eastAsia="en-AU"/>
    </w:rPr>
  </w:style>
  <w:style w:type="paragraph" w:styleId="ListParagraph">
    <w:name w:val="List Paragraph"/>
    <w:basedOn w:val="Normal"/>
    <w:uiPriority w:val="34"/>
    <w:qFormat/>
    <w:rsid w:val="00BE244B"/>
    <w:pPr>
      <w:spacing w:after="0"/>
      <w:ind w:left="720"/>
      <w:jc w:val="left"/>
    </w:pPr>
    <w:rPr>
      <w:rFonts w:ascii="Calibri" w:hAnsi="Calibri"/>
      <w:sz w:val="22"/>
      <w:szCs w:val="22"/>
    </w:rPr>
  </w:style>
  <w:style w:type="paragraph" w:styleId="Bibliography">
    <w:name w:val="Bibliography"/>
    <w:basedOn w:val="Normal"/>
    <w:next w:val="Normal"/>
    <w:uiPriority w:val="37"/>
    <w:semiHidden/>
    <w:unhideWhenUsed/>
    <w:rsid w:val="001E0AC1"/>
    <w:rPr>
      <w:lang w:eastAsia="en-AU"/>
    </w:rPr>
  </w:style>
  <w:style w:type="character" w:styleId="BookTitle">
    <w:name w:val="Book Title"/>
    <w:uiPriority w:val="33"/>
    <w:rsid w:val="001E0AC1"/>
    <w:rPr>
      <w:b/>
      <w:bCs/>
      <w:smallCaps/>
      <w:spacing w:val="5"/>
    </w:rPr>
  </w:style>
  <w:style w:type="table" w:customStyle="1" w:styleId="ColorfulGrid1">
    <w:name w:val="Colorful Grid1"/>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1E0AC1"/>
    <w:rPr>
      <w:rFonts w:ascii="Times New (W1)" w:hAnsi="Times New (W1)"/>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E0AC1"/>
    <w:rPr>
      <w:rFonts w:ascii="Times New (W1)" w:hAnsi="Times New (W1)"/>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E0AC1"/>
    <w:rPr>
      <w:rFonts w:ascii="Times New (W1)" w:hAnsi="Times New (W1)"/>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E0AC1"/>
    <w:rPr>
      <w:rFonts w:ascii="Times New (W1)" w:hAnsi="Times New (W1)"/>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E0AC1"/>
    <w:rPr>
      <w:rFonts w:ascii="Times New (W1)" w:hAnsi="Times New (W1)"/>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E0AC1"/>
    <w:rPr>
      <w:rFonts w:ascii="Times New (W1)" w:hAnsi="Times New (W1)"/>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E0AC1"/>
    <w:rPr>
      <w:rFonts w:ascii="Times New (W1)" w:hAnsi="Times New (W1)"/>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rsid w:val="001E0AC1"/>
    <w:rPr>
      <w:b/>
      <w:bCs/>
      <w:i/>
      <w:iCs/>
      <w:color w:val="4F81BD"/>
    </w:rPr>
  </w:style>
  <w:style w:type="paragraph" w:styleId="IntenseQuote">
    <w:name w:val="Intense Quote"/>
    <w:basedOn w:val="Normal"/>
    <w:next w:val="Normal"/>
    <w:link w:val="IntenseQuoteChar"/>
    <w:uiPriority w:val="30"/>
    <w:rsid w:val="001E0AC1"/>
    <w:pPr>
      <w:pBdr>
        <w:bottom w:val="single" w:sz="4" w:space="4" w:color="4F81BD"/>
      </w:pBdr>
      <w:spacing w:before="200" w:after="280"/>
      <w:ind w:left="936" w:right="936"/>
    </w:pPr>
    <w:rPr>
      <w:b/>
      <w:bCs/>
      <w:i/>
      <w:iCs/>
      <w:color w:val="4F81BD"/>
      <w:lang w:eastAsia="en-AU"/>
    </w:rPr>
  </w:style>
  <w:style w:type="character" w:customStyle="1" w:styleId="IntenseQuoteChar">
    <w:name w:val="Intense Quote Char"/>
    <w:link w:val="IntenseQuote"/>
    <w:uiPriority w:val="30"/>
    <w:rsid w:val="001E0AC1"/>
    <w:rPr>
      <w:b/>
      <w:bCs/>
      <w:i/>
      <w:iCs/>
      <w:color w:val="4F81BD"/>
      <w:sz w:val="26"/>
    </w:rPr>
  </w:style>
  <w:style w:type="character" w:styleId="IntenseReference">
    <w:name w:val="Intense Reference"/>
    <w:uiPriority w:val="32"/>
    <w:rsid w:val="001E0AC1"/>
    <w:rPr>
      <w:b/>
      <w:bCs/>
      <w:smallCaps/>
      <w:color w:val="C0504D"/>
      <w:spacing w:val="5"/>
      <w:u w:val="single"/>
    </w:rPr>
  </w:style>
  <w:style w:type="table" w:customStyle="1" w:styleId="LightGrid1">
    <w:name w:val="Light Grid1"/>
    <w:basedOn w:val="TableNormal"/>
    <w:uiPriority w:val="62"/>
    <w:rsid w:val="001E0AC1"/>
    <w:rPr>
      <w:rFonts w:ascii="Times New (W1)" w:hAnsi="Times New (W1)"/>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E0AC1"/>
    <w:rPr>
      <w:rFonts w:ascii="Times New (W1)" w:hAnsi="Times New (W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E0AC1"/>
    <w:rPr>
      <w:rFonts w:ascii="Times New (W1)" w:hAnsi="Times New (W1)"/>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E0AC1"/>
    <w:rPr>
      <w:rFonts w:ascii="Times New (W1)" w:hAnsi="Times New (W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E0AC1"/>
    <w:rPr>
      <w:rFonts w:ascii="Times New (W1)" w:hAnsi="Times New (W1)"/>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E0AC1"/>
    <w:rPr>
      <w:rFonts w:ascii="Times New (W1)" w:hAnsi="Times New (W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E0AC1"/>
    <w:rPr>
      <w:rFonts w:ascii="Times New (W1)" w:hAnsi="Times New (W1)"/>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1E0AC1"/>
    <w:rPr>
      <w:rFonts w:ascii="Times New (W1)" w:hAnsi="Times New (W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1E0AC1"/>
    <w:rPr>
      <w:rFonts w:ascii="Times New (W1)" w:hAnsi="Times New (W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E0AC1"/>
    <w:rPr>
      <w:rFonts w:ascii="Times New (W1)" w:hAnsi="Times New (W1)"/>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E0AC1"/>
    <w:rPr>
      <w:rFonts w:ascii="Times New (W1)" w:hAnsi="Times New (W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E0AC1"/>
    <w:rPr>
      <w:rFonts w:ascii="Times New (W1)" w:hAnsi="Times New (W1)"/>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E0AC1"/>
    <w:rPr>
      <w:rFonts w:ascii="Times New (W1)" w:hAnsi="Times New (W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E0AC1"/>
    <w:rPr>
      <w:rFonts w:ascii="Times New (W1)" w:hAnsi="Times New (W1)"/>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1E0AC1"/>
    <w:rPr>
      <w:rFonts w:ascii="Times New (W1)" w:hAnsi="Times New (W1)"/>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E0AC1"/>
    <w:rPr>
      <w:rFonts w:ascii="Times New (W1)" w:hAnsi="Times New (W1)"/>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E0AC1"/>
    <w:rPr>
      <w:rFonts w:ascii="Times New (W1)" w:hAnsi="Times New (W1)"/>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E0AC1"/>
    <w:rPr>
      <w:rFonts w:ascii="Times New (W1)" w:hAnsi="Times New (W1)"/>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E0AC1"/>
    <w:rPr>
      <w:rFonts w:ascii="Times New (W1)" w:hAnsi="Times New (W1)"/>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E0AC1"/>
    <w:rPr>
      <w:rFonts w:ascii="Times New (W1)" w:hAnsi="Times New (W1)"/>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E0AC1"/>
    <w:rPr>
      <w:rFonts w:ascii="Times New (W1)" w:hAnsi="Times New (W1)"/>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1E0AC1"/>
    <w:rPr>
      <w:rFonts w:ascii="Times New (W1)" w:hAnsi="Times New (W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E0AC1"/>
    <w:rPr>
      <w:rFonts w:ascii="Times New (W1)" w:hAnsi="Times New (W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E0AC1"/>
    <w:rPr>
      <w:rFonts w:ascii="Times New (W1)" w:hAnsi="Times New (W1)"/>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E0AC1"/>
    <w:rPr>
      <w:rFonts w:ascii="Times New (W1)" w:hAnsi="Times New (W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E0AC1"/>
    <w:rPr>
      <w:rFonts w:ascii="Times New (W1)" w:hAnsi="Times New (W1)"/>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E0AC1"/>
    <w:rPr>
      <w:rFonts w:ascii="Times New (W1)" w:hAnsi="Times New (W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E0AC1"/>
    <w:rPr>
      <w:rFonts w:ascii="Times New (W1)" w:hAnsi="Times New (W1)"/>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1E0AC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E0AC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E0AC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E0AC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E0AC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E0AC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E0AC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1E0AC1"/>
    <w:rPr>
      <w:rFonts w:ascii="Times New (W1)" w:hAnsi="Times New (W1)"/>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1E0AC1"/>
    <w:rPr>
      <w:rFonts w:ascii="Times New (W1)" w:hAnsi="Times New (W1)"/>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E0AC1"/>
    <w:rPr>
      <w:rFonts w:ascii="Times New (W1)" w:hAnsi="Times New (W1)"/>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E0AC1"/>
    <w:rPr>
      <w:rFonts w:ascii="Times New (W1)" w:hAnsi="Times New (W1)"/>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E0AC1"/>
    <w:rPr>
      <w:rFonts w:ascii="Times New (W1)" w:hAnsi="Times New (W1)"/>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E0AC1"/>
    <w:rPr>
      <w:rFonts w:ascii="Times New (W1)" w:hAnsi="Times New (W1)"/>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E0AC1"/>
    <w:rPr>
      <w:rFonts w:ascii="Times New (W1)" w:hAnsi="Times New (W1)"/>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1E0AC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E0AC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E0AC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E0AC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E0AC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E0AC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E0AC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1E0AC1"/>
    <w:rPr>
      <w:rFonts w:ascii="Times New (W1)" w:hAnsi="Times New (W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E0AC1"/>
    <w:rPr>
      <w:rFonts w:ascii="Times New (W1)" w:hAnsi="Times New (W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E0AC1"/>
    <w:rPr>
      <w:rFonts w:ascii="Times New (W1)" w:hAnsi="Times New (W1)"/>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0AC1"/>
    <w:rPr>
      <w:rFonts w:ascii="Times New (W1)" w:hAnsi="Times New (W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E0AC1"/>
    <w:rPr>
      <w:rFonts w:ascii="Times New (W1)" w:hAnsi="Times New (W1)"/>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E0AC1"/>
    <w:rPr>
      <w:rFonts w:ascii="Times New (W1)" w:hAnsi="Times New (W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E0AC1"/>
    <w:rPr>
      <w:rFonts w:ascii="Times New (W1)" w:hAnsi="Times New (W1)"/>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1E0AC1"/>
    <w:pPr>
      <w:jc w:val="both"/>
    </w:pPr>
    <w:rPr>
      <w:rFonts w:ascii="Times New (W1)" w:hAnsi="Times New (W1)"/>
      <w:sz w:val="26"/>
      <w:lang w:eastAsia="en-US"/>
    </w:rPr>
  </w:style>
  <w:style w:type="character" w:styleId="PlaceholderText">
    <w:name w:val="Placeholder Text"/>
    <w:uiPriority w:val="99"/>
    <w:semiHidden/>
    <w:rsid w:val="001E0AC1"/>
    <w:rPr>
      <w:color w:val="808080"/>
    </w:rPr>
  </w:style>
  <w:style w:type="character" w:styleId="SubtleEmphasis">
    <w:name w:val="Subtle Emphasis"/>
    <w:uiPriority w:val="19"/>
    <w:rsid w:val="001E0AC1"/>
    <w:rPr>
      <w:i/>
      <w:iCs/>
      <w:color w:val="808080"/>
    </w:rPr>
  </w:style>
  <w:style w:type="character" w:styleId="SubtleReference">
    <w:name w:val="Subtle Reference"/>
    <w:uiPriority w:val="31"/>
    <w:rsid w:val="001E0AC1"/>
    <w:rPr>
      <w:smallCaps/>
      <w:color w:val="C0504D"/>
      <w:u w:val="single"/>
    </w:rPr>
  </w:style>
  <w:style w:type="paragraph" w:styleId="TOCHeading">
    <w:name w:val="TOC Heading"/>
    <w:basedOn w:val="Heading1"/>
    <w:next w:val="Normal"/>
    <w:uiPriority w:val="39"/>
    <w:semiHidden/>
    <w:unhideWhenUsed/>
    <w:qFormat/>
    <w:rsid w:val="001E0AC1"/>
    <w:pPr>
      <w:spacing w:after="60"/>
      <w:jc w:val="both"/>
      <w:outlineLvl w:val="9"/>
    </w:pPr>
    <w:rPr>
      <w:rFonts w:ascii="Cambria" w:hAnsi="Cambria"/>
      <w:bCs/>
      <w:kern w:val="32"/>
      <w:sz w:val="32"/>
      <w:szCs w:val="32"/>
      <w:lang w:eastAsia="en-AU"/>
    </w:rPr>
  </w:style>
  <w:style w:type="paragraph" w:customStyle="1" w:styleId="letterheadbody">
    <w:name w:val="letterhead body"/>
    <w:basedOn w:val="Normal"/>
    <w:rsid w:val="001E0AC1"/>
    <w:pPr>
      <w:tabs>
        <w:tab w:val="left" w:pos="851"/>
      </w:tabs>
      <w:spacing w:after="0"/>
      <w:ind w:left="284"/>
      <w:jc w:val="left"/>
    </w:pPr>
    <w:rPr>
      <w:rFonts w:ascii="Palatino" w:hAnsi="Palatino"/>
      <w:sz w:val="20"/>
      <w:lang w:eastAsia="ja-JP"/>
    </w:rPr>
  </w:style>
  <w:style w:type="character" w:customStyle="1" w:styleId="FootnoteTextChar">
    <w:name w:val="Footnote Text Char"/>
    <w:link w:val="FootnoteText"/>
    <w:rsid w:val="001E0AC1"/>
    <w:rPr>
      <w:sz w:val="22"/>
      <w:lang w:eastAsia="en-US"/>
    </w:rPr>
  </w:style>
  <w:style w:type="character" w:customStyle="1" w:styleId="FooterChar">
    <w:name w:val="Footer Char"/>
    <w:link w:val="Footer"/>
    <w:uiPriority w:val="99"/>
    <w:rsid w:val="003F17A2"/>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0D"/>
    <w:pPr>
      <w:spacing w:after="240"/>
      <w:jc w:val="both"/>
    </w:pPr>
    <w:rPr>
      <w:sz w:val="26"/>
      <w:lang w:eastAsia="en-US"/>
    </w:rPr>
  </w:style>
  <w:style w:type="paragraph" w:styleId="Heading1">
    <w:name w:val="heading 1"/>
    <w:basedOn w:val="Normal"/>
    <w:next w:val="Normal"/>
    <w:qFormat/>
    <w:pPr>
      <w:keepNext/>
      <w:spacing w:before="240" w:after="120"/>
      <w:jc w:val="center"/>
      <w:outlineLvl w:val="0"/>
    </w:pPr>
    <w:rPr>
      <w:b/>
      <w:kern w:val="28"/>
      <w:sz w:val="40"/>
    </w:rPr>
  </w:style>
  <w:style w:type="paragraph" w:styleId="Heading2">
    <w:name w:val="heading 2"/>
    <w:basedOn w:val="Normal"/>
    <w:next w:val="Normal"/>
    <w:qFormat/>
    <w:pPr>
      <w:keepNext/>
      <w:spacing w:before="120" w:after="120"/>
      <w:jc w:val="center"/>
      <w:outlineLvl w:val="1"/>
    </w:pPr>
    <w:rPr>
      <w:b/>
      <w:sz w:val="36"/>
    </w:rPr>
  </w:style>
  <w:style w:type="paragraph" w:styleId="Heading3">
    <w:name w:val="heading 3"/>
    <w:basedOn w:val="Normal"/>
    <w:next w:val="Normal"/>
    <w:qFormat/>
    <w:pPr>
      <w:keepNext/>
      <w:spacing w:before="120" w:after="120"/>
      <w:outlineLvl w:val="2"/>
    </w:pPr>
    <w:rPr>
      <w:b/>
      <w:sz w:val="28"/>
    </w:rPr>
  </w:style>
  <w:style w:type="paragraph" w:styleId="Heading4">
    <w:name w:val="heading 4"/>
    <w:basedOn w:val="Normal"/>
    <w:next w:val="Normal"/>
    <w:qFormat/>
    <w:rsid w:val="000A2EBF"/>
    <w:pPr>
      <w:keepNext/>
      <w:numPr>
        <w:ilvl w:val="3"/>
        <w:numId w:val="32"/>
      </w:numPr>
      <w:outlineLvl w:val="3"/>
    </w:pPr>
    <w:rPr>
      <w:b/>
      <w:i/>
    </w:rPr>
  </w:style>
  <w:style w:type="paragraph" w:styleId="Heading5">
    <w:name w:val="heading 5"/>
    <w:basedOn w:val="Normal"/>
    <w:next w:val="Normal"/>
    <w:qFormat/>
    <w:rsid w:val="000A2EBF"/>
    <w:pPr>
      <w:keepNext/>
      <w:numPr>
        <w:ilvl w:val="4"/>
        <w:numId w:val="32"/>
      </w:numPr>
      <w:jc w:val="left"/>
      <w:outlineLvl w:val="4"/>
    </w:pPr>
    <w:rPr>
      <w:i/>
    </w:rPr>
  </w:style>
  <w:style w:type="paragraph" w:styleId="Heading6">
    <w:name w:val="heading 6"/>
    <w:basedOn w:val="Normal"/>
    <w:next w:val="Normal"/>
    <w:qFormat/>
    <w:locked/>
    <w:rsid w:val="000A2EBF"/>
    <w:pPr>
      <w:numPr>
        <w:ilvl w:val="5"/>
        <w:numId w:val="32"/>
      </w:numPr>
      <w:spacing w:before="240" w:after="60"/>
      <w:outlineLvl w:val="5"/>
    </w:pPr>
    <w:rPr>
      <w:i/>
      <w:sz w:val="22"/>
    </w:rPr>
  </w:style>
  <w:style w:type="paragraph" w:styleId="Heading7">
    <w:name w:val="heading 7"/>
    <w:basedOn w:val="Normal"/>
    <w:next w:val="Normal"/>
    <w:qFormat/>
    <w:locked/>
    <w:rsid w:val="000A2EBF"/>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0A2EBF"/>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0A2EBF"/>
    <w:pPr>
      <w:numPr>
        <w:ilvl w:val="8"/>
        <w:numId w:val="3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evel1">
    <w:name w:val="Level1"/>
    <w:basedOn w:val="Normal"/>
    <w:rsid w:val="000A2EBF"/>
    <w:pPr>
      <w:numPr>
        <w:numId w:val="32"/>
      </w:numPr>
    </w:pPr>
  </w:style>
  <w:style w:type="paragraph" w:customStyle="1" w:styleId="Level2">
    <w:name w:val="Level2"/>
    <w:basedOn w:val="Normal"/>
    <w:rsid w:val="000A2EBF"/>
    <w:pPr>
      <w:numPr>
        <w:ilvl w:val="1"/>
        <w:numId w:val="32"/>
      </w:numPr>
    </w:pPr>
  </w:style>
  <w:style w:type="paragraph" w:customStyle="1" w:styleId="Level3">
    <w:name w:val="Level3"/>
    <w:basedOn w:val="Normal"/>
    <w:link w:val="Level3Char"/>
    <w:rsid w:val="000A2EBF"/>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semiHidden/>
    <w:rPr>
      <w:vertAlign w:val="superscript"/>
    </w:rPr>
  </w:style>
  <w:style w:type="paragraph" w:styleId="Header">
    <w:name w:val="header"/>
    <w:basedOn w:val="Normal"/>
    <w:semiHidden/>
    <w:pPr>
      <w:tabs>
        <w:tab w:val="center" w:pos="8306"/>
      </w:tabs>
    </w:pPr>
    <w:rPr>
      <w:sz w:val="22"/>
    </w:rPr>
  </w:style>
  <w:style w:type="paragraph" w:styleId="Footer">
    <w:name w:val="footer"/>
    <w:basedOn w:val="Normal"/>
    <w:link w:val="FooterChar"/>
    <w:uiPriority w:val="99"/>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pPr>
      <w:ind w:left="851" w:right="799"/>
    </w:pPr>
  </w:style>
  <w:style w:type="paragraph" w:styleId="Quote">
    <w:name w:val="Quote"/>
    <w:basedOn w:val="Indent"/>
    <w:qFormat/>
    <w:rsid w:val="005D07D1"/>
    <w:pPr>
      <w:ind w:right="851"/>
    </w:pPr>
    <w:rPr>
      <w:sz w:val="24"/>
    </w:rPr>
  </w:style>
  <w:style w:type="paragraph" w:customStyle="1" w:styleId="REC">
    <w:name w:val="REC"/>
    <w:basedOn w:val="Normal"/>
    <w:rPr>
      <w:b/>
    </w:rPr>
  </w:style>
  <w:style w:type="character" w:styleId="PageNumber">
    <w:name w:val="page number"/>
    <w:basedOn w:val="DefaultParagraphFont"/>
    <w:semiHidden/>
    <w:locked/>
  </w:style>
  <w:style w:type="paragraph" w:styleId="Caption">
    <w:name w:val="caption"/>
    <w:basedOn w:val="Normal"/>
    <w:next w:val="Normal"/>
    <w:qFormat/>
    <w:locked/>
    <w:pPr>
      <w:spacing w:before="120" w:after="120"/>
    </w:pPr>
    <w:rPr>
      <w:i/>
    </w:rPr>
  </w:style>
  <w:style w:type="paragraph" w:styleId="EndnoteText">
    <w:name w:val="endnote text"/>
    <w:basedOn w:val="Normal"/>
    <w:semiHidden/>
    <w:locked/>
    <w:rPr>
      <w:sz w:val="20"/>
    </w:rPr>
  </w:style>
  <w:style w:type="character" w:styleId="EndnoteReference">
    <w:name w:val="endnote reference"/>
    <w:semiHidden/>
    <w:locked/>
    <w:rPr>
      <w:vertAlign w:val="superscript"/>
    </w:rPr>
  </w:style>
  <w:style w:type="paragraph" w:styleId="TOC1">
    <w:name w:val="toc 1"/>
    <w:basedOn w:val="Normal"/>
    <w:next w:val="Normal"/>
    <w:semiHidden/>
    <w:pPr>
      <w:spacing w:before="240" w:after="120"/>
    </w:pPr>
    <w:rPr>
      <w:rFonts w:ascii="Times" w:hAnsi="Times"/>
      <w:b/>
      <w:sz w:val="28"/>
      <w:szCs w:val="28"/>
    </w:rPr>
  </w:style>
  <w:style w:type="paragraph" w:styleId="TOC2">
    <w:name w:val="toc 2"/>
    <w:basedOn w:val="Normal"/>
    <w:next w:val="Normal"/>
    <w:semiHidden/>
    <w:pPr>
      <w:spacing w:after="120"/>
      <w:ind w:left="261"/>
    </w:pPr>
    <w:rPr>
      <w:rFonts w:ascii="Times" w:hAnsi="Times"/>
      <w:b/>
      <w:szCs w:val="26"/>
    </w:rPr>
  </w:style>
  <w:style w:type="paragraph" w:styleId="TOC3">
    <w:name w:val="toc 3"/>
    <w:basedOn w:val="Normal"/>
    <w:next w:val="Normal"/>
    <w:semiHidden/>
    <w:pPr>
      <w:spacing w:after="60"/>
      <w:ind w:left="522"/>
    </w:pPr>
    <w:rPr>
      <w:rFonts w:ascii="Times" w:hAnsi="Times"/>
      <w:szCs w:val="26"/>
    </w:rPr>
  </w:style>
  <w:style w:type="paragraph" w:styleId="TOC4">
    <w:name w:val="toc 4"/>
    <w:basedOn w:val="Normal"/>
    <w:next w:val="Normal"/>
    <w:semiHidden/>
    <w:locked/>
    <w:pPr>
      <w:spacing w:after="60"/>
      <w:ind w:left="720"/>
    </w:pPr>
    <w:rPr>
      <w:rFonts w:ascii="Times" w:hAnsi="Times"/>
      <w:szCs w:val="26"/>
    </w:rPr>
  </w:style>
  <w:style w:type="paragraph" w:styleId="TOC5">
    <w:name w:val="toc 5"/>
    <w:basedOn w:val="Normal"/>
    <w:next w:val="Normal"/>
    <w:semiHidden/>
    <w:locked/>
    <w:pPr>
      <w:spacing w:after="60"/>
      <w:ind w:left="958"/>
    </w:pPr>
    <w:rPr>
      <w:rFonts w:ascii="Times" w:hAnsi="Times"/>
      <w:szCs w:val="26"/>
    </w:rPr>
  </w:style>
  <w:style w:type="paragraph" w:styleId="TOC6">
    <w:name w:val="toc 6"/>
    <w:basedOn w:val="Normal"/>
    <w:next w:val="Normal"/>
    <w:semiHidden/>
    <w:locked/>
    <w:pPr>
      <w:ind w:left="1200"/>
    </w:pPr>
  </w:style>
  <w:style w:type="paragraph" w:styleId="TOC7">
    <w:name w:val="toc 7"/>
    <w:basedOn w:val="Normal"/>
    <w:next w:val="Normal"/>
    <w:semiHidden/>
    <w:locked/>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pPr>
      <w:numPr>
        <w:numId w:val="1"/>
      </w:numPr>
    </w:pPr>
  </w:style>
  <w:style w:type="numbering" w:styleId="1ai">
    <w:name w:val="Outline List 1"/>
    <w:basedOn w:val="NoList"/>
    <w:semiHidden/>
    <w:locked/>
    <w:pPr>
      <w:numPr>
        <w:numId w:val="2"/>
      </w:numPr>
    </w:pPr>
  </w:style>
  <w:style w:type="numbering" w:styleId="ArticleSection">
    <w:name w:val="Outline List 3"/>
    <w:basedOn w:val="NoList"/>
    <w:semiHidden/>
    <w:locked/>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locked/>
    <w:pPr>
      <w:spacing w:after="120"/>
      <w:ind w:left="1440" w:right="1440"/>
    </w:pPr>
  </w:style>
  <w:style w:type="paragraph" w:styleId="BodyText">
    <w:name w:val="Body Text"/>
    <w:basedOn w:val="Normal"/>
    <w:semiHidden/>
    <w:locked/>
    <w:pPr>
      <w:spacing w:after="120"/>
    </w:pPr>
  </w:style>
  <w:style w:type="paragraph" w:styleId="BodyText2">
    <w:name w:val="Body Text 2"/>
    <w:basedOn w:val="Normal"/>
    <w:semiHidden/>
    <w:locked/>
    <w:pPr>
      <w:spacing w:after="120" w:line="480" w:lineRule="auto"/>
    </w:pPr>
  </w:style>
  <w:style w:type="paragraph" w:styleId="BodyText3">
    <w:name w:val="Body Text 3"/>
    <w:basedOn w:val="Normal"/>
    <w:semiHidden/>
    <w:locked/>
    <w:pPr>
      <w:spacing w:after="120"/>
    </w:pPr>
    <w:rPr>
      <w:sz w:val="16"/>
      <w:szCs w:val="16"/>
    </w:rPr>
  </w:style>
  <w:style w:type="paragraph" w:styleId="BodyTextFirstIndent">
    <w:name w:val="Body Text First Indent"/>
    <w:basedOn w:val="BodyText"/>
    <w:semiHidden/>
    <w:locked/>
    <w:pPr>
      <w:ind w:firstLine="210"/>
    </w:pPr>
  </w:style>
  <w:style w:type="paragraph" w:styleId="BodyTextIndent">
    <w:name w:val="Body Text Indent"/>
    <w:basedOn w:val="Normal"/>
    <w:semiHidden/>
    <w:locked/>
    <w:pPr>
      <w:spacing w:after="120"/>
      <w:ind w:left="283"/>
    </w:pPr>
  </w:style>
  <w:style w:type="paragraph" w:styleId="BodyTextFirstIndent2">
    <w:name w:val="Body Text First Indent 2"/>
    <w:basedOn w:val="BodyTextIndent"/>
    <w:semiHidden/>
    <w:locked/>
    <w:pPr>
      <w:ind w:firstLine="210"/>
    </w:pPr>
  </w:style>
  <w:style w:type="paragraph" w:styleId="BodyTextIndent2">
    <w:name w:val="Body Text Indent 2"/>
    <w:basedOn w:val="Normal"/>
    <w:semiHidden/>
    <w:locked/>
    <w:pPr>
      <w:spacing w:after="120" w:line="480" w:lineRule="auto"/>
      <w:ind w:left="283"/>
    </w:pPr>
  </w:style>
  <w:style w:type="paragraph" w:styleId="BodyTextIndent3">
    <w:name w:val="Body Text Indent 3"/>
    <w:basedOn w:val="Normal"/>
    <w:semiHidden/>
    <w:locked/>
    <w:pPr>
      <w:spacing w:after="120"/>
      <w:ind w:left="283"/>
    </w:pPr>
    <w:rPr>
      <w:sz w:val="16"/>
      <w:szCs w:val="16"/>
    </w:rPr>
  </w:style>
  <w:style w:type="paragraph" w:styleId="Closing">
    <w:name w:val="Closing"/>
    <w:basedOn w:val="Normal"/>
    <w:semiHidden/>
    <w:locked/>
    <w:pPr>
      <w:ind w:left="4252"/>
    </w:p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Date">
    <w:name w:val="Date"/>
    <w:basedOn w:val="Normal"/>
    <w:next w:val="Normal"/>
    <w:semiHidden/>
    <w:locked/>
  </w:style>
  <w:style w:type="paragraph" w:styleId="DocumentMap">
    <w:name w:val="Document Map"/>
    <w:basedOn w:val="Normal"/>
    <w:semiHidden/>
    <w:locked/>
    <w:pPr>
      <w:shd w:val="clear" w:color="auto" w:fill="000080"/>
    </w:pPr>
    <w:rPr>
      <w:rFonts w:ascii="Tahoma" w:hAnsi="Tahoma" w:cs="Tahoma"/>
      <w:sz w:val="20"/>
    </w:rPr>
  </w:style>
  <w:style w:type="paragraph" w:styleId="E-mailSignature">
    <w:name w:val="E-mail Signature"/>
    <w:basedOn w:val="Normal"/>
    <w:semiHidden/>
    <w:locked/>
  </w:style>
  <w:style w:type="character" w:styleId="Emphasis">
    <w:name w:val="Emphasis"/>
    <w:qFormat/>
    <w:locked/>
    <w:rPr>
      <w:i/>
      <w:iCs/>
    </w:rPr>
  </w:style>
  <w:style w:type="paragraph" w:styleId="EnvelopeAddress">
    <w:name w:val="envelope address"/>
    <w:basedOn w:val="Normal"/>
    <w:semiHidden/>
    <w:locke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Pr>
      <w:rFonts w:ascii="Arial" w:hAnsi="Arial" w:cs="Arial"/>
      <w:sz w:val="20"/>
    </w:rPr>
  </w:style>
  <w:style w:type="character" w:styleId="FollowedHyperlink">
    <w:name w:val="FollowedHyperlink"/>
    <w:semiHidden/>
    <w:locked/>
    <w:rPr>
      <w:color w:val="800080"/>
      <w:u w:val="single"/>
    </w:rPr>
  </w:style>
  <w:style w:type="character" w:styleId="HTMLAcronym">
    <w:name w:val="HTML Acronym"/>
    <w:basedOn w:val="DefaultParagraphFont"/>
    <w:semiHidden/>
    <w:locked/>
  </w:style>
  <w:style w:type="paragraph" w:styleId="HTMLAddress">
    <w:name w:val="HTML Address"/>
    <w:basedOn w:val="Normal"/>
    <w:semiHidden/>
    <w:locked/>
    <w:rPr>
      <w:i/>
      <w:iCs/>
    </w:rPr>
  </w:style>
  <w:style w:type="character" w:styleId="HTMLCite">
    <w:name w:val="HTML Cite"/>
    <w:semiHidden/>
    <w:locked/>
    <w:rPr>
      <w:i/>
      <w:iCs/>
    </w:rPr>
  </w:style>
  <w:style w:type="character" w:styleId="HTMLCode">
    <w:name w:val="HTML Code"/>
    <w:semiHidden/>
    <w:locked/>
    <w:rPr>
      <w:rFonts w:ascii="Courier New" w:hAnsi="Courier New" w:cs="Courier New"/>
      <w:sz w:val="20"/>
      <w:szCs w:val="20"/>
    </w:rPr>
  </w:style>
  <w:style w:type="character" w:styleId="HTMLDefinition">
    <w:name w:val="HTML Definition"/>
    <w:semiHidden/>
    <w:locked/>
    <w:rPr>
      <w:i/>
      <w:iCs/>
    </w:rPr>
  </w:style>
  <w:style w:type="character" w:styleId="HTMLKeyboard">
    <w:name w:val="HTML Keyboard"/>
    <w:semiHidden/>
    <w:locked/>
    <w:rPr>
      <w:rFonts w:ascii="Courier New" w:hAnsi="Courier New" w:cs="Courier New"/>
      <w:sz w:val="20"/>
      <w:szCs w:val="20"/>
    </w:rPr>
  </w:style>
  <w:style w:type="paragraph" w:styleId="HTMLPreformatted">
    <w:name w:val="HTML Preformatted"/>
    <w:basedOn w:val="Normal"/>
    <w:semiHidden/>
    <w:locked/>
    <w:rPr>
      <w:rFonts w:ascii="Courier New" w:hAnsi="Courier New" w:cs="Courier New"/>
      <w:sz w:val="20"/>
    </w:rPr>
  </w:style>
  <w:style w:type="character" w:styleId="HTMLSample">
    <w:name w:val="HTML Sample"/>
    <w:semiHidden/>
    <w:locked/>
    <w:rPr>
      <w:rFonts w:ascii="Courier New" w:hAnsi="Courier New" w:cs="Courier New"/>
    </w:rPr>
  </w:style>
  <w:style w:type="character" w:styleId="HTMLTypewriter">
    <w:name w:val="HTML Typewriter"/>
    <w:semiHidden/>
    <w:locked/>
    <w:rPr>
      <w:rFonts w:ascii="Courier New" w:hAnsi="Courier New" w:cs="Courier New"/>
      <w:sz w:val="20"/>
      <w:szCs w:val="20"/>
    </w:rPr>
  </w:style>
  <w:style w:type="character" w:styleId="HTMLVariable">
    <w:name w:val="HTML Variable"/>
    <w:semiHidden/>
    <w:locked/>
    <w:rPr>
      <w:i/>
      <w:iCs/>
    </w:rPr>
  </w:style>
  <w:style w:type="character" w:styleId="Hyperlink">
    <w:name w:val="Hyperlink"/>
    <w:rPr>
      <w:color w:val="0000FF"/>
      <w:u w:val="single"/>
    </w:rPr>
  </w:style>
  <w:style w:type="paragraph" w:styleId="Index1">
    <w:name w:val="index 1"/>
    <w:basedOn w:val="Normal"/>
    <w:next w:val="Normal"/>
    <w:semiHidden/>
    <w:locked/>
    <w:pPr>
      <w:ind w:left="260" w:hanging="260"/>
    </w:pPr>
  </w:style>
  <w:style w:type="paragraph" w:styleId="Index2">
    <w:name w:val="index 2"/>
    <w:basedOn w:val="Normal"/>
    <w:next w:val="Normal"/>
    <w:semiHidden/>
    <w:locked/>
    <w:pPr>
      <w:ind w:left="520" w:hanging="260"/>
    </w:pPr>
  </w:style>
  <w:style w:type="paragraph" w:styleId="Index3">
    <w:name w:val="index 3"/>
    <w:basedOn w:val="Normal"/>
    <w:next w:val="Normal"/>
    <w:semiHidden/>
    <w:locked/>
    <w:pPr>
      <w:ind w:left="780" w:hanging="260"/>
    </w:pPr>
  </w:style>
  <w:style w:type="paragraph" w:styleId="Index4">
    <w:name w:val="index 4"/>
    <w:basedOn w:val="Normal"/>
    <w:next w:val="Normal"/>
    <w:semiHidden/>
    <w:locked/>
    <w:pPr>
      <w:ind w:left="1040" w:hanging="260"/>
    </w:pPr>
  </w:style>
  <w:style w:type="paragraph" w:styleId="Index5">
    <w:name w:val="index 5"/>
    <w:basedOn w:val="Normal"/>
    <w:next w:val="Normal"/>
    <w:semiHidden/>
    <w:locked/>
    <w:pPr>
      <w:ind w:left="1300" w:hanging="260"/>
    </w:pPr>
  </w:style>
  <w:style w:type="paragraph" w:styleId="Index6">
    <w:name w:val="index 6"/>
    <w:basedOn w:val="Normal"/>
    <w:next w:val="Normal"/>
    <w:semiHidden/>
    <w:locked/>
    <w:pPr>
      <w:ind w:left="1560" w:hanging="260"/>
    </w:pPr>
  </w:style>
  <w:style w:type="paragraph" w:styleId="Index7">
    <w:name w:val="index 7"/>
    <w:basedOn w:val="Normal"/>
    <w:next w:val="Normal"/>
    <w:semiHidden/>
    <w:locked/>
    <w:pPr>
      <w:ind w:left="1820" w:hanging="260"/>
    </w:pPr>
  </w:style>
  <w:style w:type="paragraph" w:styleId="Index8">
    <w:name w:val="index 8"/>
    <w:basedOn w:val="Normal"/>
    <w:next w:val="Normal"/>
    <w:semiHidden/>
    <w:locked/>
    <w:pPr>
      <w:ind w:left="2080" w:hanging="260"/>
    </w:pPr>
  </w:style>
  <w:style w:type="paragraph" w:styleId="Index9">
    <w:name w:val="index 9"/>
    <w:basedOn w:val="Normal"/>
    <w:next w:val="Normal"/>
    <w:semiHidden/>
    <w:locked/>
    <w:pPr>
      <w:ind w:left="2340" w:hanging="260"/>
    </w:pPr>
  </w:style>
  <w:style w:type="paragraph" w:styleId="IndexHeading">
    <w:name w:val="index heading"/>
    <w:basedOn w:val="Normal"/>
    <w:next w:val="Index1"/>
    <w:semiHidden/>
    <w:locked/>
    <w:rPr>
      <w:rFonts w:ascii="Arial" w:hAnsi="Arial" w:cs="Arial"/>
      <w:b/>
      <w:bCs/>
    </w:rPr>
  </w:style>
  <w:style w:type="character" w:styleId="LineNumber">
    <w:name w:val="line number"/>
    <w:basedOn w:val="DefaultParagraphFont"/>
    <w:semiHidden/>
    <w:locked/>
  </w:style>
  <w:style w:type="paragraph" w:styleId="List">
    <w:name w:val="List"/>
    <w:basedOn w:val="Normal"/>
    <w:semiHidden/>
    <w:locked/>
    <w:pPr>
      <w:ind w:left="283" w:hanging="283"/>
    </w:pPr>
  </w:style>
  <w:style w:type="paragraph" w:styleId="List2">
    <w:name w:val="List 2"/>
    <w:basedOn w:val="Normal"/>
    <w:semiHidden/>
    <w:locked/>
    <w:pPr>
      <w:ind w:left="566" w:hanging="283"/>
    </w:pPr>
  </w:style>
  <w:style w:type="paragraph" w:styleId="List3">
    <w:name w:val="List 3"/>
    <w:basedOn w:val="Normal"/>
    <w:semiHidden/>
    <w:locked/>
    <w:pPr>
      <w:ind w:left="849" w:hanging="283"/>
    </w:pPr>
  </w:style>
  <w:style w:type="paragraph" w:styleId="List4">
    <w:name w:val="List 4"/>
    <w:basedOn w:val="Normal"/>
    <w:semiHidden/>
    <w:locked/>
    <w:pPr>
      <w:ind w:left="1132" w:hanging="283"/>
    </w:pPr>
  </w:style>
  <w:style w:type="paragraph" w:styleId="List5">
    <w:name w:val="List 5"/>
    <w:basedOn w:val="Normal"/>
    <w:semiHidden/>
    <w:locked/>
    <w:pPr>
      <w:ind w:left="1415" w:hanging="283"/>
    </w:pPr>
  </w:style>
  <w:style w:type="paragraph" w:styleId="ListBullet">
    <w:name w:val="List Bullet"/>
    <w:basedOn w:val="Normal"/>
    <w:semiHidden/>
    <w:locked/>
    <w:pPr>
      <w:numPr>
        <w:numId w:val="7"/>
      </w:numPr>
    </w:pPr>
  </w:style>
  <w:style w:type="paragraph" w:styleId="ListBullet2">
    <w:name w:val="List Bullet 2"/>
    <w:basedOn w:val="Normal"/>
    <w:semiHidden/>
    <w:locked/>
    <w:pPr>
      <w:numPr>
        <w:numId w:val="8"/>
      </w:numPr>
    </w:pPr>
  </w:style>
  <w:style w:type="paragraph" w:styleId="ListBullet3">
    <w:name w:val="List Bullet 3"/>
    <w:basedOn w:val="Normal"/>
    <w:semiHidden/>
    <w:locked/>
    <w:pPr>
      <w:numPr>
        <w:numId w:val="9"/>
      </w:numPr>
    </w:pPr>
  </w:style>
  <w:style w:type="paragraph" w:styleId="ListBullet4">
    <w:name w:val="List Bullet 4"/>
    <w:basedOn w:val="Normal"/>
    <w:semiHidden/>
    <w:locked/>
    <w:pPr>
      <w:numPr>
        <w:numId w:val="10"/>
      </w:numPr>
    </w:pPr>
  </w:style>
  <w:style w:type="paragraph" w:styleId="ListBullet5">
    <w:name w:val="List Bullet 5"/>
    <w:basedOn w:val="Normal"/>
    <w:semiHidden/>
    <w:locked/>
    <w:pPr>
      <w:numPr>
        <w:numId w:val="11"/>
      </w:numPr>
    </w:pPr>
  </w:style>
  <w:style w:type="paragraph" w:styleId="ListContinue">
    <w:name w:val="List Continue"/>
    <w:basedOn w:val="Normal"/>
    <w:semiHidden/>
    <w:locked/>
    <w:pPr>
      <w:spacing w:after="120"/>
      <w:ind w:left="283"/>
    </w:pPr>
  </w:style>
  <w:style w:type="paragraph" w:styleId="ListContinue2">
    <w:name w:val="List Continue 2"/>
    <w:basedOn w:val="Normal"/>
    <w:semiHidden/>
    <w:locked/>
    <w:pPr>
      <w:spacing w:after="120"/>
      <w:ind w:left="566"/>
    </w:pPr>
  </w:style>
  <w:style w:type="paragraph" w:styleId="ListContinue3">
    <w:name w:val="List Continue 3"/>
    <w:basedOn w:val="Normal"/>
    <w:semiHidden/>
    <w:locked/>
    <w:pPr>
      <w:spacing w:after="120"/>
      <w:ind w:left="849"/>
    </w:pPr>
  </w:style>
  <w:style w:type="paragraph" w:styleId="ListContinue4">
    <w:name w:val="List Continue 4"/>
    <w:basedOn w:val="Normal"/>
    <w:semiHidden/>
    <w:locked/>
    <w:pPr>
      <w:spacing w:after="120"/>
      <w:ind w:left="1132"/>
    </w:pPr>
  </w:style>
  <w:style w:type="paragraph" w:styleId="ListContinue5">
    <w:name w:val="List Continue 5"/>
    <w:basedOn w:val="Normal"/>
    <w:semiHidden/>
    <w:locked/>
    <w:pPr>
      <w:spacing w:after="120"/>
      <w:ind w:left="1415"/>
    </w:pPr>
  </w:style>
  <w:style w:type="paragraph" w:styleId="ListNumber">
    <w:name w:val="List Number"/>
    <w:basedOn w:val="Normal"/>
    <w:semiHidden/>
    <w:locked/>
    <w:pPr>
      <w:numPr>
        <w:numId w:val="12"/>
      </w:numPr>
    </w:pPr>
  </w:style>
  <w:style w:type="paragraph" w:styleId="ListNumber2">
    <w:name w:val="List Number 2"/>
    <w:basedOn w:val="Normal"/>
    <w:semiHidden/>
    <w:locked/>
    <w:pPr>
      <w:numPr>
        <w:numId w:val="13"/>
      </w:numPr>
    </w:pPr>
  </w:style>
  <w:style w:type="paragraph" w:styleId="ListNumber3">
    <w:name w:val="List Number 3"/>
    <w:basedOn w:val="Normal"/>
    <w:semiHidden/>
    <w:locked/>
    <w:pPr>
      <w:numPr>
        <w:numId w:val="14"/>
      </w:numPr>
    </w:pPr>
  </w:style>
  <w:style w:type="paragraph" w:styleId="ListNumber4">
    <w:name w:val="List Number 4"/>
    <w:basedOn w:val="Normal"/>
    <w:semiHidden/>
    <w:locked/>
    <w:pPr>
      <w:numPr>
        <w:numId w:val="15"/>
      </w:numPr>
    </w:pPr>
  </w:style>
  <w:style w:type="paragraph" w:styleId="ListNumber5">
    <w:name w:val="List Number 5"/>
    <w:basedOn w:val="Normal"/>
    <w:semiHidden/>
    <w:locked/>
    <w:pPr>
      <w:numPr>
        <w:numId w:val="16"/>
      </w:numPr>
    </w:pPr>
  </w:style>
  <w:style w:type="paragraph" w:styleId="MacroText">
    <w:name w:val="macro"/>
    <w:semiHidden/>
    <w:lock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Pr>
      <w:sz w:val="24"/>
      <w:szCs w:val="24"/>
    </w:rPr>
  </w:style>
  <w:style w:type="paragraph" w:styleId="NormalIndent">
    <w:name w:val="Normal Indent"/>
    <w:basedOn w:val="Normal"/>
    <w:semiHidden/>
    <w:locked/>
    <w:pPr>
      <w:ind w:left="720"/>
    </w:pPr>
  </w:style>
  <w:style w:type="paragraph" w:styleId="NoteHeading">
    <w:name w:val="Note Heading"/>
    <w:basedOn w:val="Normal"/>
    <w:next w:val="Normal"/>
    <w:semiHidden/>
    <w:locked/>
  </w:style>
  <w:style w:type="paragraph" w:styleId="PlainText">
    <w:name w:val="Plain Text"/>
    <w:basedOn w:val="Normal"/>
    <w:semiHidden/>
    <w:locked/>
    <w:rPr>
      <w:rFonts w:ascii="Courier New" w:hAnsi="Courier New" w:cs="Courier New"/>
      <w:sz w:val="20"/>
    </w:rPr>
  </w:style>
  <w:style w:type="paragraph" w:styleId="Salutation">
    <w:name w:val="Salutation"/>
    <w:basedOn w:val="Normal"/>
    <w:next w:val="Normal"/>
    <w:semiHidden/>
    <w:locked/>
  </w:style>
  <w:style w:type="paragraph" w:styleId="Signature">
    <w:name w:val="Signature"/>
    <w:basedOn w:val="Normal"/>
    <w:semiHidden/>
    <w:locked/>
    <w:pPr>
      <w:ind w:left="4252"/>
    </w:pPr>
  </w:style>
  <w:style w:type="character" w:styleId="Strong">
    <w:name w:val="Strong"/>
    <w:qFormat/>
    <w:locked/>
    <w:rPr>
      <w:b/>
      <w:bCs/>
    </w:rPr>
  </w:style>
  <w:style w:type="paragraph" w:styleId="Subtitle">
    <w:name w:val="Subtitle"/>
    <w:basedOn w:val="Normal"/>
    <w:qFormat/>
    <w:locked/>
    <w:rsid w:val="00A6738A"/>
    <w:pPr>
      <w:spacing w:after="60"/>
      <w:jc w:val="center"/>
    </w:pPr>
    <w:rPr>
      <w:rFonts w:ascii="Arial" w:hAnsi="Arial" w:cs="Arial"/>
      <w:sz w:val="24"/>
      <w:szCs w:val="24"/>
    </w:rPr>
  </w:style>
  <w:style w:type="table" w:styleId="Table3Deffects1">
    <w:name w:val="Table 3D effects 1"/>
    <w:basedOn w:val="TableNormal"/>
    <w:semiHidden/>
    <w:lock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pPr>
      <w:ind w:left="260" w:hanging="260"/>
    </w:pPr>
  </w:style>
  <w:style w:type="paragraph" w:styleId="TableofFigures">
    <w:name w:val="table of figures"/>
    <w:basedOn w:val="Normal"/>
    <w:next w:val="Normal"/>
    <w:semiHidden/>
    <w:locked/>
  </w:style>
  <w:style w:type="table" w:styleId="TableProfessional">
    <w:name w:val="Table Professional"/>
    <w:basedOn w:val="TableNormal"/>
    <w:semiHidden/>
    <w:lock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pPr>
      <w:spacing w:before="120"/>
    </w:pPr>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link w:val="Level3"/>
    <w:rsid w:val="000A2EBF"/>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customStyle="1" w:styleId="JNP2">
    <w:name w:val="JNP2"/>
    <w:basedOn w:val="Normal"/>
    <w:rsid w:val="00C1050D"/>
    <w:pPr>
      <w:spacing w:after="0"/>
      <w:ind w:left="2268"/>
    </w:pPr>
    <w:rPr>
      <w:lang w:val="en-US"/>
    </w:rPr>
  </w:style>
  <w:style w:type="paragraph" w:customStyle="1" w:styleId="JNP3">
    <w:name w:val="JNP3"/>
    <w:basedOn w:val="JNP2"/>
    <w:rsid w:val="008659EF"/>
    <w:pPr>
      <w:tabs>
        <w:tab w:val="left" w:pos="3969"/>
      </w:tabs>
      <w:ind w:left="2552"/>
    </w:pPr>
    <w:rPr>
      <w:sz w:val="24"/>
      <w:lang w:eastAsia="en-AU"/>
    </w:rPr>
  </w:style>
  <w:style w:type="paragraph" w:styleId="ListParagraph">
    <w:name w:val="List Paragraph"/>
    <w:basedOn w:val="Normal"/>
    <w:uiPriority w:val="34"/>
    <w:qFormat/>
    <w:rsid w:val="00BE244B"/>
    <w:pPr>
      <w:spacing w:after="0"/>
      <w:ind w:left="720"/>
      <w:jc w:val="left"/>
    </w:pPr>
    <w:rPr>
      <w:rFonts w:ascii="Calibri" w:hAnsi="Calibri"/>
      <w:sz w:val="22"/>
      <w:szCs w:val="22"/>
    </w:rPr>
  </w:style>
  <w:style w:type="paragraph" w:styleId="Bibliography">
    <w:name w:val="Bibliography"/>
    <w:basedOn w:val="Normal"/>
    <w:next w:val="Normal"/>
    <w:uiPriority w:val="37"/>
    <w:semiHidden/>
    <w:unhideWhenUsed/>
    <w:rsid w:val="001E0AC1"/>
    <w:rPr>
      <w:lang w:eastAsia="en-AU"/>
    </w:rPr>
  </w:style>
  <w:style w:type="character" w:styleId="BookTitle">
    <w:name w:val="Book Title"/>
    <w:uiPriority w:val="33"/>
    <w:rsid w:val="001E0AC1"/>
    <w:rPr>
      <w:b/>
      <w:bCs/>
      <w:smallCaps/>
      <w:spacing w:val="5"/>
    </w:rPr>
  </w:style>
  <w:style w:type="table" w:customStyle="1" w:styleId="ColorfulGrid1">
    <w:name w:val="Colorful Grid1"/>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E0AC1"/>
    <w:rPr>
      <w:rFonts w:ascii="Times New (W1)" w:hAnsi="Times New (W1)"/>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E0AC1"/>
    <w:rPr>
      <w:rFonts w:ascii="Times New (W1)" w:hAnsi="Times New (W1)"/>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1E0AC1"/>
    <w:rPr>
      <w:rFonts w:ascii="Times New (W1)" w:hAnsi="Times New (W1)"/>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E0AC1"/>
    <w:rPr>
      <w:rFonts w:ascii="Times New (W1)" w:hAnsi="Times New (W1)"/>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E0AC1"/>
    <w:rPr>
      <w:rFonts w:ascii="Times New (W1)" w:hAnsi="Times New (W1)"/>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E0AC1"/>
    <w:rPr>
      <w:rFonts w:ascii="Times New (W1)" w:hAnsi="Times New (W1)"/>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E0AC1"/>
    <w:rPr>
      <w:rFonts w:ascii="Times New (W1)" w:hAnsi="Times New (W1)"/>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E0AC1"/>
    <w:rPr>
      <w:rFonts w:ascii="Times New (W1)" w:hAnsi="Times New (W1)"/>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E0AC1"/>
    <w:rPr>
      <w:rFonts w:ascii="Times New (W1)" w:hAnsi="Times New (W1)"/>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E0AC1"/>
    <w:rPr>
      <w:rFonts w:ascii="Times New (W1)" w:hAnsi="Times New (W1)"/>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rsid w:val="001E0AC1"/>
    <w:rPr>
      <w:b/>
      <w:bCs/>
      <w:i/>
      <w:iCs/>
      <w:color w:val="4F81BD"/>
    </w:rPr>
  </w:style>
  <w:style w:type="paragraph" w:styleId="IntenseQuote">
    <w:name w:val="Intense Quote"/>
    <w:basedOn w:val="Normal"/>
    <w:next w:val="Normal"/>
    <w:link w:val="IntenseQuoteChar"/>
    <w:uiPriority w:val="30"/>
    <w:rsid w:val="001E0AC1"/>
    <w:pPr>
      <w:pBdr>
        <w:bottom w:val="single" w:sz="4" w:space="4" w:color="4F81BD"/>
      </w:pBdr>
      <w:spacing w:before="200" w:after="280"/>
      <w:ind w:left="936" w:right="936"/>
    </w:pPr>
    <w:rPr>
      <w:b/>
      <w:bCs/>
      <w:i/>
      <w:iCs/>
      <w:color w:val="4F81BD"/>
      <w:lang w:eastAsia="en-AU"/>
    </w:rPr>
  </w:style>
  <w:style w:type="character" w:customStyle="1" w:styleId="IntenseQuoteChar">
    <w:name w:val="Intense Quote Char"/>
    <w:link w:val="IntenseQuote"/>
    <w:uiPriority w:val="30"/>
    <w:rsid w:val="001E0AC1"/>
    <w:rPr>
      <w:b/>
      <w:bCs/>
      <w:i/>
      <w:iCs/>
      <w:color w:val="4F81BD"/>
      <w:sz w:val="26"/>
    </w:rPr>
  </w:style>
  <w:style w:type="character" w:styleId="IntenseReference">
    <w:name w:val="Intense Reference"/>
    <w:uiPriority w:val="32"/>
    <w:rsid w:val="001E0AC1"/>
    <w:rPr>
      <w:b/>
      <w:bCs/>
      <w:smallCaps/>
      <w:color w:val="C0504D"/>
      <w:spacing w:val="5"/>
      <w:u w:val="single"/>
    </w:rPr>
  </w:style>
  <w:style w:type="table" w:customStyle="1" w:styleId="LightGrid1">
    <w:name w:val="Light Grid1"/>
    <w:basedOn w:val="TableNormal"/>
    <w:uiPriority w:val="62"/>
    <w:rsid w:val="001E0AC1"/>
    <w:rPr>
      <w:rFonts w:ascii="Times New (W1)" w:hAnsi="Times New (W1)"/>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1E0AC1"/>
    <w:rPr>
      <w:rFonts w:ascii="Times New (W1)" w:hAnsi="Times New (W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E0AC1"/>
    <w:rPr>
      <w:rFonts w:ascii="Times New (W1)" w:hAnsi="Times New (W1)"/>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E0AC1"/>
    <w:rPr>
      <w:rFonts w:ascii="Times New (W1)" w:hAnsi="Times New (W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E0AC1"/>
    <w:rPr>
      <w:rFonts w:ascii="Times New (W1)" w:hAnsi="Times New (W1)"/>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E0AC1"/>
    <w:rPr>
      <w:rFonts w:ascii="Times New (W1)" w:hAnsi="Times New (W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E0AC1"/>
    <w:rPr>
      <w:rFonts w:ascii="Times New (W1)" w:hAnsi="Times New (W1)"/>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1E0AC1"/>
    <w:rPr>
      <w:rFonts w:ascii="Times New (W1)" w:hAnsi="Times New (W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1E0AC1"/>
    <w:rPr>
      <w:rFonts w:ascii="Times New (W1)" w:hAnsi="Times New (W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E0AC1"/>
    <w:rPr>
      <w:rFonts w:ascii="Times New (W1)" w:hAnsi="Times New (W1)"/>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E0AC1"/>
    <w:rPr>
      <w:rFonts w:ascii="Times New (W1)" w:hAnsi="Times New (W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E0AC1"/>
    <w:rPr>
      <w:rFonts w:ascii="Times New (W1)" w:hAnsi="Times New (W1)"/>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E0AC1"/>
    <w:rPr>
      <w:rFonts w:ascii="Times New (W1)" w:hAnsi="Times New (W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E0AC1"/>
    <w:rPr>
      <w:rFonts w:ascii="Times New (W1)" w:hAnsi="Times New (W1)"/>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1E0AC1"/>
    <w:rPr>
      <w:rFonts w:ascii="Times New (W1)" w:hAnsi="Times New (W1)"/>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E0AC1"/>
    <w:rPr>
      <w:rFonts w:ascii="Times New (W1)" w:hAnsi="Times New (W1)"/>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E0AC1"/>
    <w:rPr>
      <w:rFonts w:ascii="Times New (W1)" w:hAnsi="Times New (W1)"/>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E0AC1"/>
    <w:rPr>
      <w:rFonts w:ascii="Times New (W1)" w:hAnsi="Times New (W1)"/>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E0AC1"/>
    <w:rPr>
      <w:rFonts w:ascii="Times New (W1)" w:hAnsi="Times New (W1)"/>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E0AC1"/>
    <w:rPr>
      <w:rFonts w:ascii="Times New (W1)" w:hAnsi="Times New (W1)"/>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E0AC1"/>
    <w:rPr>
      <w:rFonts w:ascii="Times New (W1)" w:hAnsi="Times New (W1)"/>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1E0AC1"/>
    <w:rPr>
      <w:rFonts w:ascii="Times New (W1)" w:hAnsi="Times New (W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E0AC1"/>
    <w:rPr>
      <w:rFonts w:ascii="Times New (W1)" w:hAnsi="Times New (W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E0AC1"/>
    <w:rPr>
      <w:rFonts w:ascii="Times New (W1)" w:hAnsi="Times New (W1)"/>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E0AC1"/>
    <w:rPr>
      <w:rFonts w:ascii="Times New (W1)" w:hAnsi="Times New (W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E0AC1"/>
    <w:rPr>
      <w:rFonts w:ascii="Times New (W1)" w:hAnsi="Times New (W1)"/>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E0AC1"/>
    <w:rPr>
      <w:rFonts w:ascii="Times New (W1)" w:hAnsi="Times New (W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E0AC1"/>
    <w:rPr>
      <w:rFonts w:ascii="Times New (W1)" w:hAnsi="Times New (W1)"/>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1E0AC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E0AC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E0AC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E0AC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E0AC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E0AC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E0AC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E0AC1"/>
    <w:rPr>
      <w:rFonts w:ascii="Times New (W1)" w:hAnsi="Times New (W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1E0AC1"/>
    <w:rPr>
      <w:rFonts w:ascii="Times New (W1)" w:hAnsi="Times New (W1)"/>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1E0AC1"/>
    <w:rPr>
      <w:rFonts w:ascii="Times New (W1)" w:hAnsi="Times New (W1)"/>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E0AC1"/>
    <w:rPr>
      <w:rFonts w:ascii="Times New (W1)" w:hAnsi="Times New (W1)"/>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E0AC1"/>
    <w:rPr>
      <w:rFonts w:ascii="Times New (W1)" w:hAnsi="Times New (W1)"/>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E0AC1"/>
    <w:rPr>
      <w:rFonts w:ascii="Times New (W1)" w:hAnsi="Times New (W1)"/>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E0AC1"/>
    <w:rPr>
      <w:rFonts w:ascii="Times New (W1)" w:hAnsi="Times New (W1)"/>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E0AC1"/>
    <w:rPr>
      <w:rFonts w:ascii="Times New (W1)" w:hAnsi="Times New (W1)"/>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1E0AC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E0AC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E0AC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E0AC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E0AC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E0AC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E0AC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1E0AC1"/>
    <w:rPr>
      <w:rFonts w:ascii="Times New (W1)" w:hAnsi="Times New (W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E0AC1"/>
    <w:rPr>
      <w:rFonts w:ascii="Times New (W1)" w:hAnsi="Times New (W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E0AC1"/>
    <w:rPr>
      <w:rFonts w:ascii="Times New (W1)" w:hAnsi="Times New (W1)"/>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0AC1"/>
    <w:rPr>
      <w:rFonts w:ascii="Times New (W1)" w:hAnsi="Times New (W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E0AC1"/>
    <w:rPr>
      <w:rFonts w:ascii="Times New (W1)" w:hAnsi="Times New (W1)"/>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E0AC1"/>
    <w:rPr>
      <w:rFonts w:ascii="Times New (W1)" w:hAnsi="Times New (W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E0AC1"/>
    <w:rPr>
      <w:rFonts w:ascii="Times New (W1)" w:hAnsi="Times New (W1)"/>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E0AC1"/>
    <w:rPr>
      <w:rFonts w:ascii="Times New (W1)" w:hAnsi="Times New (W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1E0AC1"/>
    <w:pPr>
      <w:jc w:val="both"/>
    </w:pPr>
    <w:rPr>
      <w:rFonts w:ascii="Times New (W1)" w:hAnsi="Times New (W1)"/>
      <w:sz w:val="26"/>
      <w:lang w:eastAsia="en-US"/>
    </w:rPr>
  </w:style>
  <w:style w:type="character" w:styleId="PlaceholderText">
    <w:name w:val="Placeholder Text"/>
    <w:uiPriority w:val="99"/>
    <w:semiHidden/>
    <w:rsid w:val="001E0AC1"/>
    <w:rPr>
      <w:color w:val="808080"/>
    </w:rPr>
  </w:style>
  <w:style w:type="character" w:styleId="SubtleEmphasis">
    <w:name w:val="Subtle Emphasis"/>
    <w:uiPriority w:val="19"/>
    <w:rsid w:val="001E0AC1"/>
    <w:rPr>
      <w:i/>
      <w:iCs/>
      <w:color w:val="808080"/>
    </w:rPr>
  </w:style>
  <w:style w:type="character" w:styleId="SubtleReference">
    <w:name w:val="Subtle Reference"/>
    <w:uiPriority w:val="31"/>
    <w:rsid w:val="001E0AC1"/>
    <w:rPr>
      <w:smallCaps/>
      <w:color w:val="C0504D"/>
      <w:u w:val="single"/>
    </w:rPr>
  </w:style>
  <w:style w:type="paragraph" w:styleId="TOCHeading">
    <w:name w:val="TOC Heading"/>
    <w:basedOn w:val="Heading1"/>
    <w:next w:val="Normal"/>
    <w:uiPriority w:val="39"/>
    <w:semiHidden/>
    <w:unhideWhenUsed/>
    <w:qFormat/>
    <w:rsid w:val="001E0AC1"/>
    <w:pPr>
      <w:spacing w:after="60"/>
      <w:jc w:val="both"/>
      <w:outlineLvl w:val="9"/>
    </w:pPr>
    <w:rPr>
      <w:rFonts w:ascii="Cambria" w:hAnsi="Cambria"/>
      <w:bCs/>
      <w:kern w:val="32"/>
      <w:sz w:val="32"/>
      <w:szCs w:val="32"/>
      <w:lang w:eastAsia="en-AU"/>
    </w:rPr>
  </w:style>
  <w:style w:type="paragraph" w:customStyle="1" w:styleId="letterheadbody">
    <w:name w:val="letterhead body"/>
    <w:basedOn w:val="Normal"/>
    <w:rsid w:val="001E0AC1"/>
    <w:pPr>
      <w:tabs>
        <w:tab w:val="left" w:pos="851"/>
      </w:tabs>
      <w:spacing w:after="0"/>
      <w:ind w:left="284"/>
      <w:jc w:val="left"/>
    </w:pPr>
    <w:rPr>
      <w:rFonts w:ascii="Palatino" w:hAnsi="Palatino"/>
      <w:sz w:val="20"/>
      <w:lang w:eastAsia="ja-JP"/>
    </w:rPr>
  </w:style>
  <w:style w:type="character" w:customStyle="1" w:styleId="FootnoteTextChar">
    <w:name w:val="Footnote Text Char"/>
    <w:link w:val="FootnoteText"/>
    <w:rsid w:val="001E0AC1"/>
    <w:rPr>
      <w:sz w:val="22"/>
      <w:lang w:eastAsia="en-US"/>
    </w:rPr>
  </w:style>
  <w:style w:type="character" w:customStyle="1" w:styleId="FooterChar">
    <w:name w:val="Footer Char"/>
    <w:link w:val="Footer"/>
    <w:uiPriority w:val="99"/>
    <w:rsid w:val="003F17A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5708">
      <w:bodyDiv w:val="1"/>
      <w:marLeft w:val="0"/>
      <w:marRight w:val="0"/>
      <w:marTop w:val="0"/>
      <w:marBottom w:val="0"/>
      <w:divBdr>
        <w:top w:val="none" w:sz="0" w:space="0" w:color="auto"/>
        <w:left w:val="none" w:sz="0" w:space="0" w:color="auto"/>
        <w:bottom w:val="none" w:sz="0" w:space="0" w:color="auto"/>
        <w:right w:val="none" w:sz="0" w:space="0" w:color="auto"/>
      </w:divBdr>
    </w:div>
    <w:div w:id="733086865">
      <w:bodyDiv w:val="1"/>
      <w:marLeft w:val="0"/>
      <w:marRight w:val="0"/>
      <w:marTop w:val="0"/>
      <w:marBottom w:val="0"/>
      <w:divBdr>
        <w:top w:val="none" w:sz="0" w:space="0" w:color="auto"/>
        <w:left w:val="none" w:sz="0" w:space="0" w:color="auto"/>
        <w:bottom w:val="none" w:sz="0" w:space="0" w:color="auto"/>
        <w:right w:val="none" w:sz="0" w:space="0" w:color="auto"/>
      </w:divBdr>
    </w:div>
    <w:div w:id="1301688621">
      <w:bodyDiv w:val="1"/>
      <w:marLeft w:val="0"/>
      <w:marRight w:val="0"/>
      <w:marTop w:val="0"/>
      <w:marBottom w:val="0"/>
      <w:divBdr>
        <w:top w:val="none" w:sz="0" w:space="0" w:color="auto"/>
        <w:left w:val="none" w:sz="0" w:space="0" w:color="auto"/>
        <w:bottom w:val="none" w:sz="0" w:space="0" w:color="auto"/>
        <w:right w:val="none" w:sz="0" w:space="0" w:color="auto"/>
      </w:divBdr>
    </w:div>
    <w:div w:id="1876038111">
      <w:bodyDiv w:val="1"/>
      <w:marLeft w:val="0"/>
      <w:marRight w:val="0"/>
      <w:marTop w:val="0"/>
      <w:marBottom w:val="0"/>
      <w:divBdr>
        <w:top w:val="none" w:sz="0" w:space="0" w:color="auto"/>
        <w:left w:val="none" w:sz="0" w:space="0" w:color="auto"/>
        <w:bottom w:val="none" w:sz="0" w:space="0" w:color="auto"/>
        <w:right w:val="none" w:sz="0" w:space="0" w:color="auto"/>
      </w:divBdr>
    </w:div>
    <w:div w:id="21229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yperlink" Target="http://www.aph.gov.au/Parliamentary_Business/Committees/Senate_Committees?url=regord_ctte/index.htm" TargetMode="Externa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http://www.aph.gov.au/Parliamentary_Business/Committees/Senate_Committees?url=regord_ctte/alert2012.ht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yperlink" Target="http://www.comlaw.gov.au/Details/C2012C00041" TargetMode="External"/><Relationship Id="rId40" Type="http://schemas.openxmlformats.org/officeDocument/2006/relationships/hyperlink" Target="mailto:RegOrds.Sen@aph.gov.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yperlink" Target="http://www.aph.gov.au/Parliamentary_Business/Committees/Senate_Committees?url=regord_ctte/guidelines.htm"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image" Target="media/image1.png"/><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OfficeXP\Templates\SEN\Senat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Template>
  <TotalTime>0</TotalTime>
  <Pages>51</Pages>
  <Words>13057</Words>
  <Characters>80877</Characters>
  <Application>Microsoft Office Word</Application>
  <DocSecurity>0</DocSecurity>
  <Lines>673</Lines>
  <Paragraphs>187</Paragraphs>
  <ScaleCrop>false</ScaleCrop>
  <HeadingPairs>
    <vt:vector size="2" baseType="variant">
      <vt:variant>
        <vt:lpstr>Title</vt:lpstr>
      </vt:variant>
      <vt:variant>
        <vt:i4>1</vt:i4>
      </vt:variant>
    </vt:vector>
  </HeadingPairs>
  <TitlesOfParts>
    <vt:vector size="1" baseType="lpstr">
      <vt:lpstr>© Commonwealth of Australia 2004</vt:lpstr>
    </vt:vector>
  </TitlesOfParts>
  <Company>Parliament of Australia</Company>
  <LinksUpToDate>false</LinksUpToDate>
  <CharactersWithSpaces>93747</CharactersWithSpaces>
  <SharedDoc>false</SharedDoc>
  <HLinks>
    <vt:vector size="30" baseType="variant">
      <vt:variant>
        <vt:i4>1179696</vt:i4>
      </vt:variant>
      <vt:variant>
        <vt:i4>12</vt:i4>
      </vt:variant>
      <vt:variant>
        <vt:i4>0</vt:i4>
      </vt:variant>
      <vt:variant>
        <vt:i4>5</vt:i4>
      </vt:variant>
      <vt:variant>
        <vt:lpwstr>mailto:RegOrds.Sen@aph.gov.au</vt:lpwstr>
      </vt:variant>
      <vt:variant>
        <vt:lpwstr/>
      </vt:variant>
      <vt:variant>
        <vt:i4>1966194</vt:i4>
      </vt:variant>
      <vt:variant>
        <vt:i4>9</vt:i4>
      </vt:variant>
      <vt:variant>
        <vt:i4>0</vt:i4>
      </vt:variant>
      <vt:variant>
        <vt:i4>5</vt:i4>
      </vt:variant>
      <vt:variant>
        <vt:lpwstr>http://www.aph.gov.au/Parliamentary_Business/Committees/Senate_Committees?url=regord_ctte/index.htm</vt:lpwstr>
      </vt:variant>
      <vt:variant>
        <vt:lpwstr/>
      </vt:variant>
      <vt:variant>
        <vt:i4>524405</vt:i4>
      </vt:variant>
      <vt:variant>
        <vt:i4>6</vt:i4>
      </vt:variant>
      <vt:variant>
        <vt:i4>0</vt:i4>
      </vt:variant>
      <vt:variant>
        <vt:i4>5</vt:i4>
      </vt:variant>
      <vt:variant>
        <vt:lpwstr>http://www.aph.gov.au/Parliamentary_Business/Committees/Senate_Committees?url=regord_ctte/alert2012.htm</vt:lpwstr>
      </vt:variant>
      <vt:variant>
        <vt:lpwstr/>
      </vt:variant>
      <vt:variant>
        <vt:i4>262232</vt:i4>
      </vt:variant>
      <vt:variant>
        <vt:i4>3</vt:i4>
      </vt:variant>
      <vt:variant>
        <vt:i4>0</vt:i4>
      </vt:variant>
      <vt:variant>
        <vt:i4>5</vt:i4>
      </vt:variant>
      <vt:variant>
        <vt:lpwstr>http://www.comlaw.gov.au/Details/C2012C00041</vt:lpwstr>
      </vt:variant>
      <vt:variant>
        <vt:lpwstr/>
      </vt:variant>
      <vt:variant>
        <vt:i4>2752594</vt:i4>
      </vt:variant>
      <vt:variant>
        <vt:i4>0</vt:i4>
      </vt:variant>
      <vt:variant>
        <vt:i4>0</vt:i4>
      </vt:variant>
      <vt:variant>
        <vt:i4>5</vt:i4>
      </vt:variant>
      <vt:variant>
        <vt:lpwstr>http://www.aph.gov.au/Parliamentary_Business/Committees/Senate_Committees?url=regord_ctte/guidelines.htm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Commonwealth of Australia 2004</dc:title>
  <dc:creator>wuestj</dc:creator>
  <cp:lastModifiedBy>Janice Paull</cp:lastModifiedBy>
  <cp:revision>2</cp:revision>
  <cp:lastPrinted>2007-08-20T07:24:00Z</cp:lastPrinted>
  <dcterms:created xsi:type="dcterms:W3CDTF">2013-05-14T08:25:00Z</dcterms:created>
  <dcterms:modified xsi:type="dcterms:W3CDTF">2013-05-14T08:25:00Z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99</vt:i4>
  </property>
</Properties>
</file>