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D76" w:rsidRPr="006A6F7F" w:rsidRDefault="00BF4D76" w:rsidP="00BF4D76">
      <w:pPr>
        <w:pStyle w:val="Level3"/>
        <w:numPr>
          <w:ilvl w:val="0"/>
          <w:numId w:val="0"/>
        </w:numPr>
      </w:pPr>
      <w:bookmarkStart w:id="0" w:name="_GoBack"/>
      <w:bookmarkEnd w:id="0"/>
    </w:p>
    <w:p w:rsidR="00BF4D76" w:rsidRPr="006A6F7F" w:rsidRDefault="00BF4D76" w:rsidP="00BF4D76">
      <w:pPr>
        <w:pStyle w:val="Level3"/>
        <w:numPr>
          <w:ilvl w:val="0"/>
          <w:numId w:val="0"/>
        </w:numPr>
      </w:pPr>
    </w:p>
    <w:p w:rsidR="00BF4D76" w:rsidRPr="006A6F7F" w:rsidRDefault="00BF4D76" w:rsidP="00BF4D76">
      <w:pPr>
        <w:pStyle w:val="Level3"/>
        <w:numPr>
          <w:ilvl w:val="0"/>
          <w:numId w:val="0"/>
        </w:numPr>
      </w:pPr>
    </w:p>
    <w:p w:rsidR="00BF4D76" w:rsidRDefault="00BF4D76" w:rsidP="00BF4D76">
      <w:pPr>
        <w:ind w:left="1920"/>
        <w:rPr>
          <w:sz w:val="36"/>
        </w:rPr>
      </w:pPr>
      <w:r>
        <w:rPr>
          <w:sz w:val="36"/>
        </w:rPr>
        <w:t>The Senate</w:t>
      </w:r>
    </w:p>
    <w:p w:rsidR="00BF4D76" w:rsidRPr="006A6F7F" w:rsidRDefault="00BF4D76" w:rsidP="00BF4D76">
      <w:pPr>
        <w:pStyle w:val="Level3"/>
        <w:numPr>
          <w:ilvl w:val="0"/>
          <w:numId w:val="0"/>
        </w:numPr>
      </w:pPr>
    </w:p>
    <w:p w:rsidR="00BF4D76" w:rsidRPr="006A6F7F" w:rsidRDefault="00BF4D76" w:rsidP="00BF4D76">
      <w:pPr>
        <w:pStyle w:val="Level3"/>
        <w:numPr>
          <w:ilvl w:val="0"/>
          <w:numId w:val="0"/>
        </w:numPr>
      </w:pPr>
    </w:p>
    <w:p w:rsidR="00BF4D76" w:rsidRPr="006A6F7F" w:rsidRDefault="00BF4D76" w:rsidP="00BF4D76">
      <w:pPr>
        <w:pStyle w:val="Level3"/>
        <w:numPr>
          <w:ilvl w:val="0"/>
          <w:numId w:val="0"/>
        </w:numPr>
      </w:pPr>
    </w:p>
    <w:p w:rsidR="00BF4D76" w:rsidRPr="006A6F7F" w:rsidRDefault="00BF4D76" w:rsidP="00BF4D76">
      <w:pPr>
        <w:pStyle w:val="Level3"/>
        <w:numPr>
          <w:ilvl w:val="0"/>
          <w:numId w:val="0"/>
        </w:numPr>
        <w:tabs>
          <w:tab w:val="left" w:pos="1920"/>
        </w:tabs>
        <w:spacing w:after="120"/>
        <w:ind w:right="866"/>
        <w:jc w:val="left"/>
      </w:pPr>
    </w:p>
    <w:p w:rsidR="00BF4D76" w:rsidRDefault="00BF4D76" w:rsidP="00BF4D76">
      <w:pPr>
        <w:pBdr>
          <w:top w:val="single" w:sz="4" w:space="14" w:color="auto"/>
          <w:bottom w:val="single" w:sz="4" w:space="15" w:color="auto"/>
        </w:pBdr>
        <w:spacing w:after="0" w:line="540" w:lineRule="exact"/>
        <w:ind w:left="1922" w:right="2564"/>
        <w:jc w:val="left"/>
        <w:rPr>
          <w:sz w:val="44"/>
          <w:szCs w:val="44"/>
        </w:rPr>
      </w:pPr>
      <w:r>
        <w:rPr>
          <w:sz w:val="44"/>
          <w:szCs w:val="44"/>
        </w:rPr>
        <w:t>Standing</w:t>
      </w:r>
    </w:p>
    <w:p w:rsidR="00BF4D76" w:rsidRPr="004A0A31" w:rsidRDefault="00BF4D76" w:rsidP="00BF4D76">
      <w:pPr>
        <w:pBdr>
          <w:top w:val="single" w:sz="4" w:space="14" w:color="auto"/>
          <w:bottom w:val="single" w:sz="4" w:space="15" w:color="auto"/>
        </w:pBdr>
        <w:spacing w:after="0" w:line="540" w:lineRule="exact"/>
        <w:ind w:left="1922" w:right="2564"/>
        <w:jc w:val="left"/>
        <w:rPr>
          <w:sz w:val="44"/>
          <w:szCs w:val="44"/>
        </w:rPr>
      </w:pPr>
      <w:r>
        <w:rPr>
          <w:sz w:val="44"/>
          <w:szCs w:val="44"/>
        </w:rPr>
        <w:t>Committee on Regulations and Ordinances</w:t>
      </w:r>
      <w:r w:rsidRPr="004A0A31">
        <w:rPr>
          <w:sz w:val="44"/>
          <w:szCs w:val="44"/>
        </w:rPr>
        <w:t xml:space="preserve"> </w:t>
      </w:r>
    </w:p>
    <w:p w:rsidR="00BF4D76" w:rsidRPr="002C2B31" w:rsidRDefault="00BF4D76" w:rsidP="00BF4D76">
      <w:pPr>
        <w:tabs>
          <w:tab w:val="left" w:pos="8640"/>
        </w:tabs>
        <w:spacing w:before="720" w:after="0" w:line="460" w:lineRule="exact"/>
        <w:ind w:left="1922" w:right="1244"/>
        <w:jc w:val="left"/>
        <w:rPr>
          <w:sz w:val="36"/>
          <w:szCs w:val="36"/>
        </w:rPr>
      </w:pPr>
      <w:r>
        <w:rPr>
          <w:sz w:val="36"/>
          <w:szCs w:val="36"/>
        </w:rPr>
        <w:t>Delegated legislation monitor</w:t>
      </w:r>
    </w:p>
    <w:p w:rsidR="00BF4D76" w:rsidRDefault="00BF4D76" w:rsidP="00BF4D76">
      <w:pPr>
        <w:tabs>
          <w:tab w:val="left" w:pos="8789"/>
        </w:tabs>
        <w:spacing w:before="600" w:after="0" w:line="480" w:lineRule="exact"/>
        <w:ind w:left="1922" w:right="237"/>
        <w:jc w:val="left"/>
        <w:rPr>
          <w:sz w:val="24"/>
          <w:szCs w:val="24"/>
        </w:rPr>
      </w:pPr>
      <w:r>
        <w:rPr>
          <w:sz w:val="24"/>
          <w:szCs w:val="24"/>
        </w:rPr>
        <w:t xml:space="preserve">Monitor No. </w:t>
      </w:r>
      <w:r w:rsidR="00130E30">
        <w:rPr>
          <w:sz w:val="24"/>
          <w:szCs w:val="24"/>
        </w:rPr>
        <w:t>2</w:t>
      </w:r>
      <w:r>
        <w:rPr>
          <w:sz w:val="24"/>
          <w:szCs w:val="24"/>
        </w:rPr>
        <w:t xml:space="preserve"> of 2013</w:t>
      </w:r>
    </w:p>
    <w:p w:rsidR="001C1B43" w:rsidRDefault="001C1B43" w:rsidP="001C1B43">
      <w:pPr>
        <w:tabs>
          <w:tab w:val="left" w:pos="8789"/>
        </w:tabs>
        <w:spacing w:before="120" w:after="0" w:line="480" w:lineRule="exact"/>
        <w:ind w:left="1922" w:right="238"/>
        <w:jc w:val="left"/>
        <w:rPr>
          <w:sz w:val="24"/>
          <w:szCs w:val="24"/>
        </w:rPr>
      </w:pPr>
    </w:p>
    <w:p w:rsidR="001C1B43" w:rsidRDefault="001C1B43" w:rsidP="001C1B43">
      <w:pPr>
        <w:tabs>
          <w:tab w:val="left" w:pos="8789"/>
        </w:tabs>
        <w:spacing w:after="0" w:line="380" w:lineRule="exact"/>
        <w:ind w:left="1922" w:right="238"/>
        <w:jc w:val="left"/>
        <w:rPr>
          <w:sz w:val="24"/>
          <w:szCs w:val="24"/>
        </w:rPr>
      </w:pPr>
    </w:p>
    <w:p w:rsidR="001C1B43" w:rsidRDefault="001C1B43" w:rsidP="001C1B43">
      <w:pPr>
        <w:tabs>
          <w:tab w:val="left" w:pos="8789"/>
        </w:tabs>
        <w:spacing w:after="0" w:line="240" w:lineRule="exact"/>
        <w:ind w:left="1922" w:right="238"/>
        <w:jc w:val="left"/>
        <w:rPr>
          <w:sz w:val="24"/>
          <w:szCs w:val="24"/>
        </w:rPr>
      </w:pPr>
    </w:p>
    <w:p w:rsidR="001C1B43" w:rsidRPr="002D2B97" w:rsidRDefault="001C1B43" w:rsidP="001C1B43">
      <w:pPr>
        <w:tabs>
          <w:tab w:val="left" w:pos="8789"/>
        </w:tabs>
        <w:spacing w:after="0" w:line="480" w:lineRule="exact"/>
        <w:ind w:left="1922" w:right="238"/>
        <w:jc w:val="left"/>
        <w:rPr>
          <w:sz w:val="24"/>
          <w:szCs w:val="24"/>
        </w:rPr>
      </w:pPr>
    </w:p>
    <w:p w:rsidR="00BF4D76" w:rsidRDefault="00BF4D76" w:rsidP="00BF4D76">
      <w:pPr>
        <w:rPr>
          <w:sz w:val="18"/>
        </w:rPr>
      </w:pPr>
    </w:p>
    <w:p w:rsidR="00BF4D76" w:rsidRDefault="00BF4D76" w:rsidP="00BF4D76">
      <w:pPr>
        <w:rPr>
          <w:sz w:val="18"/>
        </w:rPr>
      </w:pPr>
    </w:p>
    <w:p w:rsidR="00BF4D76" w:rsidRDefault="00BF4D76" w:rsidP="00BF4D76">
      <w:pPr>
        <w:rPr>
          <w:sz w:val="18"/>
        </w:rPr>
      </w:pPr>
    </w:p>
    <w:p w:rsidR="00BF4D76" w:rsidRDefault="00BF4D76" w:rsidP="00BF4D76">
      <w:pPr>
        <w:rPr>
          <w:sz w:val="18"/>
        </w:rPr>
      </w:pPr>
    </w:p>
    <w:p w:rsidR="00BF4D76" w:rsidRDefault="00BF4D76" w:rsidP="00BF4D76">
      <w:pPr>
        <w:rPr>
          <w:sz w:val="18"/>
        </w:rPr>
      </w:pPr>
    </w:p>
    <w:p w:rsidR="00BF4D76" w:rsidRPr="00BF4D76" w:rsidRDefault="00BF4D76" w:rsidP="00BF4D76">
      <w:pPr>
        <w:tabs>
          <w:tab w:val="right" w:pos="8789"/>
        </w:tabs>
        <w:spacing w:after="0"/>
        <w:jc w:val="left"/>
        <w:rPr>
          <w:rFonts w:ascii="Frutiger 55 roman" w:hAnsi="Frutiger 55 roman" w:cs="Calibri"/>
          <w:sz w:val="28"/>
        </w:rPr>
      </w:pPr>
      <w:r>
        <w:rPr>
          <w:sz w:val="28"/>
        </w:rPr>
        <w:tab/>
      </w:r>
      <w:r w:rsidR="00130E30">
        <w:rPr>
          <w:sz w:val="28"/>
        </w:rPr>
        <w:t>28</w:t>
      </w:r>
      <w:r w:rsidR="00097619">
        <w:rPr>
          <w:sz w:val="28"/>
        </w:rPr>
        <w:t xml:space="preserve"> February</w:t>
      </w:r>
      <w:r w:rsidR="005079E2">
        <w:rPr>
          <w:rFonts w:ascii="Frutiger 55 roman" w:hAnsi="Frutiger 55 roman" w:cs="Calibri"/>
          <w:sz w:val="28"/>
        </w:rPr>
        <w:t xml:space="preserve"> </w:t>
      </w:r>
      <w:r w:rsidRPr="00BF4D76">
        <w:rPr>
          <w:rFonts w:ascii="Frutiger 55 roman" w:hAnsi="Frutiger 55 roman" w:cs="Calibri"/>
          <w:sz w:val="28"/>
        </w:rPr>
        <w:t>201</w:t>
      </w:r>
      <w:r w:rsidR="005079E2">
        <w:rPr>
          <w:rFonts w:ascii="Frutiger 55 roman" w:hAnsi="Frutiger 55 roman" w:cs="Calibri"/>
          <w:sz w:val="28"/>
        </w:rPr>
        <w:t>3</w:t>
      </w:r>
    </w:p>
    <w:p w:rsidR="00BF4D76" w:rsidRPr="001F6A19" w:rsidRDefault="00BF4D76" w:rsidP="00BF4D76">
      <w:pPr>
        <w:spacing w:after="0"/>
        <w:jc w:val="left"/>
        <w:rPr>
          <w:spacing w:val="-3"/>
          <w:sz w:val="24"/>
          <w:szCs w:val="24"/>
        </w:rPr>
      </w:pPr>
      <w:r>
        <w:rPr>
          <w:sz w:val="28"/>
        </w:rPr>
        <w:br w:type="page"/>
      </w:r>
      <w:r w:rsidRPr="001F6A19">
        <w:rPr>
          <w:spacing w:val="-3"/>
          <w:sz w:val="24"/>
          <w:szCs w:val="24"/>
        </w:rPr>
        <w:lastRenderedPageBreak/>
        <w:t>© Commonwealth of Australia 201</w:t>
      </w:r>
      <w:r>
        <w:rPr>
          <w:spacing w:val="-3"/>
          <w:sz w:val="24"/>
          <w:szCs w:val="24"/>
        </w:rPr>
        <w:t>3</w:t>
      </w:r>
    </w:p>
    <w:p w:rsidR="00BF4D76" w:rsidRPr="001F6A19" w:rsidRDefault="00BF4D76" w:rsidP="00BF4D76">
      <w:pPr>
        <w:suppressAutoHyphens/>
        <w:spacing w:after="0"/>
        <w:rPr>
          <w:spacing w:val="-3"/>
          <w:sz w:val="24"/>
          <w:szCs w:val="24"/>
        </w:rPr>
      </w:pPr>
    </w:p>
    <w:p w:rsidR="00BF4D76" w:rsidRPr="00B301F1" w:rsidRDefault="00B301F1" w:rsidP="00BF4D76">
      <w:pPr>
        <w:spacing w:after="0"/>
        <w:outlineLvl w:val="0"/>
        <w:rPr>
          <w:spacing w:val="-3"/>
          <w:sz w:val="24"/>
          <w:szCs w:val="24"/>
        </w:rPr>
      </w:pPr>
      <w:r>
        <w:rPr>
          <w:spacing w:val="-3"/>
          <w:sz w:val="24"/>
          <w:szCs w:val="24"/>
        </w:rPr>
        <w:t xml:space="preserve">ISSN </w:t>
      </w:r>
      <w:r w:rsidR="00E958CD" w:rsidRPr="00B301F1">
        <w:rPr>
          <w:spacing w:val="-3"/>
          <w:sz w:val="24"/>
          <w:szCs w:val="24"/>
        </w:rPr>
        <w:t>2201-8689 (print)</w:t>
      </w:r>
    </w:p>
    <w:p w:rsidR="001C1B43" w:rsidRPr="00B301F1" w:rsidRDefault="00AB5EFE" w:rsidP="00BF4D76">
      <w:pPr>
        <w:spacing w:after="0"/>
        <w:outlineLvl w:val="0"/>
        <w:rPr>
          <w:spacing w:val="-3"/>
          <w:sz w:val="24"/>
          <w:szCs w:val="24"/>
        </w:rPr>
      </w:pPr>
      <w:r w:rsidRPr="00B301F1">
        <w:rPr>
          <w:spacing w:val="-3"/>
          <w:sz w:val="24"/>
          <w:szCs w:val="24"/>
        </w:rPr>
        <w:t>ISSN</w:t>
      </w:r>
      <w:r w:rsidR="00B301F1">
        <w:rPr>
          <w:spacing w:val="-3"/>
          <w:sz w:val="24"/>
          <w:szCs w:val="24"/>
        </w:rPr>
        <w:t xml:space="preserve"> </w:t>
      </w:r>
      <w:r w:rsidR="00E958CD" w:rsidRPr="00B301F1">
        <w:rPr>
          <w:spacing w:val="-3"/>
          <w:sz w:val="24"/>
          <w:szCs w:val="24"/>
        </w:rPr>
        <w:t>1447-2147 (online)</w:t>
      </w:r>
    </w:p>
    <w:p w:rsidR="00BF4D76" w:rsidRDefault="00BF4D76" w:rsidP="00BF4D76">
      <w:pPr>
        <w:suppressAutoHyphens/>
        <w:spacing w:after="0"/>
        <w:rPr>
          <w:spacing w:val="-3"/>
        </w:rPr>
      </w:pPr>
    </w:p>
    <w:p w:rsidR="00BF4D76" w:rsidRDefault="00BF4D76" w:rsidP="00BF4D76">
      <w:pPr>
        <w:suppressAutoHyphens/>
        <w:spacing w:after="0"/>
        <w:rPr>
          <w:spacing w:val="-3"/>
        </w:rPr>
      </w:pPr>
    </w:p>
    <w:p w:rsidR="00BF4D76" w:rsidRDefault="00BF4D76" w:rsidP="00BF4D76">
      <w:pPr>
        <w:suppressAutoHyphens/>
        <w:spacing w:after="0"/>
        <w:rPr>
          <w:spacing w:val="-3"/>
        </w:rPr>
      </w:pPr>
    </w:p>
    <w:p w:rsidR="00BF4D76" w:rsidRDefault="00BF4D76" w:rsidP="00BF4D76">
      <w:pPr>
        <w:suppressAutoHyphens/>
        <w:spacing w:after="0"/>
        <w:rPr>
          <w:spacing w:val="-3"/>
        </w:rPr>
      </w:pPr>
    </w:p>
    <w:p w:rsidR="00BF4D76" w:rsidRDefault="00BF4D76" w:rsidP="00BF4D76">
      <w:pPr>
        <w:suppressAutoHyphens/>
        <w:spacing w:after="0"/>
        <w:rPr>
          <w:spacing w:val="-3"/>
        </w:rPr>
      </w:pPr>
    </w:p>
    <w:p w:rsidR="00BF4D76" w:rsidRDefault="00BF4D76" w:rsidP="00BF4D76">
      <w:pPr>
        <w:suppressAutoHyphens/>
        <w:spacing w:after="0"/>
        <w:rPr>
          <w:spacing w:val="-3"/>
        </w:rPr>
      </w:pPr>
    </w:p>
    <w:p w:rsidR="00BF4D76" w:rsidRDefault="00BF4D76" w:rsidP="00BF4D76">
      <w:pPr>
        <w:suppressAutoHyphens/>
        <w:spacing w:after="0"/>
        <w:rPr>
          <w:spacing w:val="-3"/>
        </w:rPr>
      </w:pPr>
    </w:p>
    <w:p w:rsidR="00BF4D76" w:rsidRDefault="00BF4D76" w:rsidP="00BF4D76">
      <w:pPr>
        <w:suppressAutoHyphens/>
        <w:spacing w:after="0"/>
        <w:rPr>
          <w:spacing w:val="-3"/>
        </w:rPr>
      </w:pPr>
    </w:p>
    <w:p w:rsidR="00BF4D76" w:rsidRDefault="00BF4D76" w:rsidP="00BF4D76">
      <w:pPr>
        <w:suppressAutoHyphens/>
        <w:spacing w:after="0"/>
        <w:rPr>
          <w:spacing w:val="-3"/>
        </w:rPr>
      </w:pPr>
    </w:p>
    <w:p w:rsidR="00BF4D76" w:rsidRDefault="00BF4D76" w:rsidP="00BF4D76">
      <w:pPr>
        <w:suppressAutoHyphens/>
        <w:spacing w:after="0"/>
        <w:rPr>
          <w:spacing w:val="-3"/>
        </w:rPr>
      </w:pPr>
    </w:p>
    <w:p w:rsidR="00BF4D76" w:rsidRDefault="00BF4D76" w:rsidP="00BF4D76">
      <w:pPr>
        <w:suppressAutoHyphens/>
        <w:spacing w:after="0"/>
        <w:rPr>
          <w:spacing w:val="-3"/>
        </w:rPr>
      </w:pPr>
    </w:p>
    <w:p w:rsidR="00BF4D76" w:rsidRDefault="00BF4D76" w:rsidP="00BF4D76">
      <w:pPr>
        <w:suppressAutoHyphens/>
        <w:spacing w:after="0"/>
        <w:rPr>
          <w:spacing w:val="-3"/>
        </w:rPr>
      </w:pPr>
    </w:p>
    <w:p w:rsidR="00BF4D76" w:rsidRDefault="00BF4D76" w:rsidP="00BF4D76">
      <w:pPr>
        <w:suppressAutoHyphens/>
        <w:spacing w:after="0"/>
        <w:rPr>
          <w:spacing w:val="-3"/>
        </w:rPr>
      </w:pPr>
    </w:p>
    <w:p w:rsidR="00BF4D76" w:rsidRDefault="00BF4D76" w:rsidP="00BF4D76">
      <w:pPr>
        <w:suppressAutoHyphens/>
        <w:spacing w:after="0"/>
        <w:rPr>
          <w:spacing w:val="-3"/>
        </w:rPr>
      </w:pPr>
    </w:p>
    <w:p w:rsidR="00BF4D76" w:rsidRDefault="00BF4D76" w:rsidP="00BF4D76">
      <w:pPr>
        <w:suppressAutoHyphens/>
        <w:spacing w:after="0"/>
        <w:rPr>
          <w:spacing w:val="-3"/>
        </w:rPr>
      </w:pPr>
    </w:p>
    <w:p w:rsidR="00BF4D76" w:rsidRDefault="00BF4D76" w:rsidP="00BF4D76">
      <w:pPr>
        <w:suppressAutoHyphens/>
        <w:spacing w:after="0"/>
        <w:rPr>
          <w:spacing w:val="-3"/>
        </w:rPr>
      </w:pPr>
    </w:p>
    <w:p w:rsidR="00BF4D76" w:rsidRDefault="00BF4D76" w:rsidP="00BF4D76">
      <w:pPr>
        <w:suppressAutoHyphens/>
        <w:spacing w:after="0"/>
        <w:rPr>
          <w:spacing w:val="-3"/>
        </w:rPr>
      </w:pPr>
    </w:p>
    <w:p w:rsidR="00BF4D76" w:rsidRDefault="00BF4D76" w:rsidP="00BF4D76">
      <w:pPr>
        <w:suppressAutoHyphens/>
        <w:spacing w:after="0"/>
        <w:rPr>
          <w:spacing w:val="-3"/>
        </w:rPr>
      </w:pPr>
    </w:p>
    <w:p w:rsidR="00BF4D76" w:rsidRDefault="00BF4D76" w:rsidP="00BF4D76">
      <w:pPr>
        <w:suppressAutoHyphens/>
        <w:spacing w:after="0"/>
        <w:rPr>
          <w:spacing w:val="-3"/>
        </w:rPr>
      </w:pPr>
    </w:p>
    <w:p w:rsidR="00BF4D76" w:rsidRDefault="00BF4D76" w:rsidP="00BF4D76">
      <w:pPr>
        <w:suppressAutoHyphens/>
        <w:spacing w:after="0"/>
        <w:rPr>
          <w:spacing w:val="-3"/>
        </w:rPr>
      </w:pPr>
    </w:p>
    <w:p w:rsidR="00BF4D76" w:rsidRDefault="00BF4D76" w:rsidP="00BF4D76">
      <w:pPr>
        <w:suppressAutoHyphens/>
        <w:spacing w:after="0"/>
        <w:rPr>
          <w:spacing w:val="-3"/>
        </w:rPr>
      </w:pPr>
    </w:p>
    <w:p w:rsidR="00BF4D76" w:rsidRDefault="00BF4D76" w:rsidP="00BF4D76">
      <w:pPr>
        <w:suppressAutoHyphens/>
        <w:spacing w:after="0"/>
        <w:rPr>
          <w:spacing w:val="-3"/>
        </w:rPr>
      </w:pPr>
    </w:p>
    <w:p w:rsidR="00BF4D76" w:rsidRDefault="00BF4D76" w:rsidP="00BF4D76">
      <w:pPr>
        <w:suppressAutoHyphens/>
        <w:spacing w:after="0"/>
        <w:rPr>
          <w:spacing w:val="-3"/>
        </w:rPr>
      </w:pPr>
    </w:p>
    <w:p w:rsidR="00BF4D76" w:rsidRDefault="00BF4D76" w:rsidP="00BF4D76">
      <w:pPr>
        <w:suppressAutoHyphens/>
        <w:spacing w:after="0"/>
        <w:rPr>
          <w:spacing w:val="-3"/>
        </w:rPr>
      </w:pPr>
    </w:p>
    <w:p w:rsidR="00BF4D76" w:rsidRDefault="00BF4D76" w:rsidP="00BF4D76">
      <w:pPr>
        <w:suppressAutoHyphens/>
        <w:spacing w:after="0"/>
        <w:rPr>
          <w:spacing w:val="-3"/>
        </w:rPr>
      </w:pPr>
    </w:p>
    <w:p w:rsidR="00BF4D76" w:rsidRDefault="00BF4D76" w:rsidP="00BF4D76">
      <w:pPr>
        <w:suppressAutoHyphens/>
        <w:spacing w:after="0"/>
        <w:rPr>
          <w:spacing w:val="-3"/>
        </w:rPr>
      </w:pPr>
    </w:p>
    <w:p w:rsidR="00BF4D76" w:rsidRDefault="00BF4D76" w:rsidP="00BF4D76">
      <w:pPr>
        <w:suppressAutoHyphens/>
        <w:spacing w:after="0"/>
        <w:rPr>
          <w:spacing w:val="-3"/>
        </w:rPr>
      </w:pPr>
    </w:p>
    <w:p w:rsidR="00BF4D76" w:rsidRDefault="00BF4D76" w:rsidP="00BF4D76">
      <w:pPr>
        <w:suppressAutoHyphens/>
        <w:spacing w:after="0"/>
        <w:rPr>
          <w:spacing w:val="-3"/>
        </w:rPr>
      </w:pPr>
    </w:p>
    <w:p w:rsidR="00BF4D76" w:rsidRDefault="00BF4D76" w:rsidP="00BF4D76">
      <w:pPr>
        <w:suppressAutoHyphens/>
        <w:spacing w:after="0"/>
        <w:rPr>
          <w:spacing w:val="-3"/>
        </w:rPr>
      </w:pPr>
    </w:p>
    <w:p w:rsidR="00BF4D76" w:rsidRDefault="00BF4D76" w:rsidP="00BF4D76">
      <w:pPr>
        <w:suppressAutoHyphens/>
        <w:spacing w:after="0"/>
        <w:rPr>
          <w:spacing w:val="-3"/>
        </w:rPr>
      </w:pPr>
    </w:p>
    <w:p w:rsidR="00BF4D76" w:rsidRDefault="00BF4D76" w:rsidP="00BF4D76">
      <w:pPr>
        <w:suppressAutoHyphens/>
        <w:spacing w:after="0"/>
        <w:rPr>
          <w:spacing w:val="-3"/>
        </w:rPr>
      </w:pPr>
    </w:p>
    <w:p w:rsidR="00BF4D76" w:rsidRDefault="00BF4D76" w:rsidP="00BF4D76">
      <w:pPr>
        <w:suppressAutoHyphens/>
        <w:spacing w:after="0"/>
        <w:rPr>
          <w:spacing w:val="-3"/>
        </w:rPr>
      </w:pPr>
    </w:p>
    <w:p w:rsidR="00BF4D76" w:rsidRDefault="00BF4D76" w:rsidP="00BF4D76">
      <w:pPr>
        <w:suppressAutoHyphens/>
        <w:spacing w:after="0"/>
        <w:rPr>
          <w:spacing w:val="-3"/>
        </w:rPr>
      </w:pPr>
    </w:p>
    <w:p w:rsidR="00BF4D76" w:rsidRDefault="00BF4D76" w:rsidP="00BF4D76">
      <w:pPr>
        <w:suppressAutoHyphens/>
        <w:spacing w:after="0"/>
        <w:rPr>
          <w:spacing w:val="-3"/>
        </w:rPr>
      </w:pPr>
    </w:p>
    <w:p w:rsidR="00BF4D76" w:rsidRDefault="00BF4D76" w:rsidP="00BF4D76">
      <w:pPr>
        <w:suppressAutoHyphens/>
        <w:spacing w:after="0"/>
        <w:rPr>
          <w:spacing w:val="-3"/>
        </w:rPr>
      </w:pPr>
    </w:p>
    <w:p w:rsidR="00BF4D76" w:rsidRDefault="00BF4D76" w:rsidP="00BF4D76">
      <w:pPr>
        <w:suppressAutoHyphens/>
        <w:spacing w:after="0"/>
        <w:rPr>
          <w:spacing w:val="-3"/>
        </w:rPr>
      </w:pPr>
    </w:p>
    <w:p w:rsidR="00BF4D76" w:rsidRDefault="00BF4D76" w:rsidP="00BF4D76">
      <w:pPr>
        <w:suppressAutoHyphens/>
        <w:spacing w:after="0"/>
        <w:rPr>
          <w:spacing w:val="-3"/>
        </w:rPr>
      </w:pPr>
    </w:p>
    <w:p w:rsidR="00BF4D76" w:rsidRDefault="00BF4D76" w:rsidP="00BF4D76">
      <w:pPr>
        <w:suppressAutoHyphens/>
        <w:spacing w:after="0"/>
        <w:rPr>
          <w:spacing w:val="-3"/>
        </w:rPr>
      </w:pPr>
    </w:p>
    <w:p w:rsidR="00BF4D76" w:rsidRDefault="00BF4D76" w:rsidP="00BF4D76">
      <w:pPr>
        <w:suppressAutoHyphens/>
        <w:spacing w:after="0"/>
        <w:rPr>
          <w:spacing w:val="-3"/>
        </w:rPr>
      </w:pPr>
    </w:p>
    <w:p w:rsidR="00B301F1" w:rsidRDefault="00B301F1" w:rsidP="00BF4D76">
      <w:pPr>
        <w:suppressAutoHyphens/>
        <w:spacing w:after="0"/>
        <w:rPr>
          <w:spacing w:val="-3"/>
        </w:rPr>
      </w:pPr>
    </w:p>
    <w:p w:rsidR="00B301F1" w:rsidRDefault="00B301F1" w:rsidP="00BF4D76">
      <w:pPr>
        <w:suppressAutoHyphens/>
        <w:spacing w:after="0"/>
        <w:rPr>
          <w:spacing w:val="-3"/>
        </w:rPr>
      </w:pPr>
    </w:p>
    <w:p w:rsidR="008702B8" w:rsidRDefault="00BF4D76" w:rsidP="00B301F1">
      <w:pPr>
        <w:suppressAutoHyphens/>
        <w:spacing w:after="0"/>
        <w:rPr>
          <w:spacing w:val="-3"/>
          <w:sz w:val="22"/>
          <w:szCs w:val="22"/>
        </w:rPr>
      </w:pPr>
      <w:r w:rsidRPr="00396DF7">
        <w:rPr>
          <w:spacing w:val="-3"/>
          <w:sz w:val="22"/>
          <w:szCs w:val="22"/>
        </w:rPr>
        <w:t>This document was prepared by the Senate Standing Committee on Regulations and Ordinances and printed by the Senate Printing Unit, Department of the Sena</w:t>
      </w:r>
      <w:r w:rsidR="00B301F1">
        <w:rPr>
          <w:spacing w:val="-3"/>
          <w:sz w:val="22"/>
          <w:szCs w:val="22"/>
        </w:rPr>
        <w:t xml:space="preserve">te, Parliament House, </w:t>
      </w:r>
      <w:proofErr w:type="gramStart"/>
      <w:r w:rsidR="00B301F1">
        <w:rPr>
          <w:spacing w:val="-3"/>
          <w:sz w:val="22"/>
          <w:szCs w:val="22"/>
        </w:rPr>
        <w:t>Canberra</w:t>
      </w:r>
      <w:proofErr w:type="gramEnd"/>
      <w:r w:rsidR="00B301F1">
        <w:rPr>
          <w:spacing w:val="-3"/>
          <w:sz w:val="22"/>
          <w:szCs w:val="22"/>
        </w:rPr>
        <w:t>.</w:t>
      </w:r>
    </w:p>
    <w:p w:rsidR="008702B8" w:rsidRDefault="008702B8" w:rsidP="008702B8">
      <w:pPr>
        <w:pStyle w:val="Heading1"/>
      </w:pPr>
      <w:r>
        <w:rPr>
          <w:spacing w:val="-3"/>
          <w:sz w:val="22"/>
          <w:szCs w:val="22"/>
        </w:rPr>
        <w:br w:type="page"/>
      </w:r>
      <w:bookmarkStart w:id="1" w:name="_Toc340231481"/>
      <w:r>
        <w:lastRenderedPageBreak/>
        <w:t>Membership of the committee</w:t>
      </w:r>
      <w:bookmarkEnd w:id="1"/>
    </w:p>
    <w:p w:rsidR="008702B8" w:rsidRDefault="008702B8" w:rsidP="008702B8">
      <w:pPr>
        <w:spacing w:after="0"/>
      </w:pPr>
    </w:p>
    <w:p w:rsidR="008702B8" w:rsidRDefault="008702B8" w:rsidP="008702B8">
      <w:pPr>
        <w:spacing w:after="0"/>
      </w:pPr>
    </w:p>
    <w:p w:rsidR="008702B8" w:rsidRDefault="008702B8" w:rsidP="008702B8">
      <w:pPr>
        <w:spacing w:after="0"/>
      </w:pPr>
    </w:p>
    <w:p w:rsidR="008702B8" w:rsidRDefault="008702B8" w:rsidP="008702B8">
      <w:pPr>
        <w:spacing w:after="0"/>
      </w:pPr>
    </w:p>
    <w:p w:rsidR="008702B8" w:rsidRDefault="008702B8" w:rsidP="008702B8">
      <w:pPr>
        <w:spacing w:after="0"/>
      </w:pPr>
    </w:p>
    <w:p w:rsidR="008702B8" w:rsidRPr="008A46B0" w:rsidRDefault="008702B8" w:rsidP="008702B8">
      <w:pPr>
        <w:tabs>
          <w:tab w:val="left" w:pos="4536"/>
        </w:tabs>
        <w:outlineLvl w:val="0"/>
        <w:rPr>
          <w:b/>
        </w:rPr>
      </w:pPr>
      <w:bookmarkStart w:id="2" w:name="_Toc340231482"/>
      <w:r>
        <w:rPr>
          <w:b/>
        </w:rPr>
        <w:t>Current m</w:t>
      </w:r>
      <w:r w:rsidRPr="008A46B0">
        <w:rPr>
          <w:b/>
        </w:rPr>
        <w:t>embers</w:t>
      </w:r>
      <w:bookmarkEnd w:id="2"/>
    </w:p>
    <w:p w:rsidR="008702B8" w:rsidRPr="001F6A19" w:rsidRDefault="008702B8" w:rsidP="008702B8">
      <w:pPr>
        <w:pStyle w:val="JNP2"/>
        <w:tabs>
          <w:tab w:val="right" w:pos="9026"/>
        </w:tabs>
        <w:ind w:left="0"/>
        <w:rPr>
          <w:sz w:val="24"/>
          <w:szCs w:val="24"/>
          <w:lang w:val="en-AU"/>
        </w:rPr>
      </w:pPr>
      <w:r w:rsidRPr="001F6A19">
        <w:rPr>
          <w:sz w:val="24"/>
          <w:szCs w:val="24"/>
          <w:lang w:val="en-AU"/>
        </w:rPr>
        <w:t>Senator Mark Furner (Chair)</w:t>
      </w:r>
      <w:r w:rsidRPr="001F6A19">
        <w:rPr>
          <w:sz w:val="24"/>
          <w:szCs w:val="24"/>
          <w:lang w:val="en-AU"/>
        </w:rPr>
        <w:tab/>
        <w:t>Queensland, ALP</w:t>
      </w:r>
    </w:p>
    <w:p w:rsidR="008702B8" w:rsidRPr="001F6A19" w:rsidRDefault="008702B8" w:rsidP="008702B8">
      <w:pPr>
        <w:pStyle w:val="JNP2"/>
        <w:tabs>
          <w:tab w:val="right" w:pos="9026"/>
        </w:tabs>
        <w:ind w:left="0"/>
        <w:rPr>
          <w:sz w:val="24"/>
          <w:szCs w:val="24"/>
          <w:lang w:val="en-AU"/>
        </w:rPr>
      </w:pPr>
      <w:r>
        <w:rPr>
          <w:sz w:val="24"/>
          <w:szCs w:val="24"/>
          <w:lang w:val="en-AU"/>
        </w:rPr>
        <w:t>Senator the Hon Richard Colbeck (Deputy Chair)</w:t>
      </w:r>
      <w:r>
        <w:rPr>
          <w:sz w:val="24"/>
          <w:szCs w:val="24"/>
          <w:lang w:val="en-AU"/>
        </w:rPr>
        <w:tab/>
        <w:t>Tasmania, LP</w:t>
      </w:r>
    </w:p>
    <w:p w:rsidR="008702B8" w:rsidRDefault="008702B8" w:rsidP="008702B8">
      <w:pPr>
        <w:pStyle w:val="JNP2"/>
        <w:tabs>
          <w:tab w:val="right" w:pos="9026"/>
        </w:tabs>
        <w:ind w:left="0"/>
        <w:rPr>
          <w:sz w:val="24"/>
          <w:szCs w:val="24"/>
          <w:lang w:val="en-AU"/>
        </w:rPr>
      </w:pPr>
      <w:r w:rsidRPr="001F6A19">
        <w:rPr>
          <w:sz w:val="24"/>
          <w:szCs w:val="24"/>
          <w:lang w:val="en-AU"/>
        </w:rPr>
        <w:t>Senator Claire Moore</w:t>
      </w:r>
      <w:r w:rsidRPr="001F6A19">
        <w:rPr>
          <w:sz w:val="24"/>
          <w:szCs w:val="24"/>
          <w:lang w:val="en-AU"/>
        </w:rPr>
        <w:tab/>
        <w:t>Queensland, ALP</w:t>
      </w:r>
    </w:p>
    <w:p w:rsidR="008702B8" w:rsidRPr="001F6A19" w:rsidRDefault="008702B8" w:rsidP="008702B8">
      <w:pPr>
        <w:pStyle w:val="JNP2"/>
        <w:tabs>
          <w:tab w:val="right" w:pos="9026"/>
        </w:tabs>
        <w:ind w:left="0"/>
        <w:rPr>
          <w:sz w:val="24"/>
          <w:szCs w:val="24"/>
          <w:lang w:val="en-AU"/>
        </w:rPr>
      </w:pPr>
      <w:r>
        <w:rPr>
          <w:sz w:val="24"/>
          <w:szCs w:val="24"/>
          <w:lang w:val="en-AU"/>
        </w:rPr>
        <w:t>Senator Louise Pratt</w:t>
      </w:r>
      <w:r>
        <w:rPr>
          <w:sz w:val="24"/>
          <w:szCs w:val="24"/>
          <w:lang w:val="en-AU"/>
        </w:rPr>
        <w:tab/>
        <w:t>Western Australia, ALP</w:t>
      </w:r>
    </w:p>
    <w:p w:rsidR="008702B8" w:rsidRPr="001F6A19" w:rsidRDefault="008702B8" w:rsidP="008702B8">
      <w:pPr>
        <w:pStyle w:val="JNP2"/>
        <w:tabs>
          <w:tab w:val="right" w:pos="9026"/>
        </w:tabs>
        <w:ind w:left="0"/>
        <w:rPr>
          <w:sz w:val="24"/>
          <w:szCs w:val="24"/>
          <w:lang w:val="en-AU"/>
        </w:rPr>
      </w:pPr>
      <w:r w:rsidRPr="001F6A19">
        <w:rPr>
          <w:sz w:val="24"/>
          <w:szCs w:val="24"/>
          <w:lang w:val="en-AU"/>
        </w:rPr>
        <w:t>Senator Scott Ryan</w:t>
      </w:r>
      <w:r w:rsidRPr="001F6A19">
        <w:rPr>
          <w:sz w:val="24"/>
          <w:szCs w:val="24"/>
          <w:lang w:val="en-AU"/>
        </w:rPr>
        <w:tab/>
        <w:t>Victoria, LP</w:t>
      </w:r>
    </w:p>
    <w:p w:rsidR="008702B8" w:rsidRDefault="008702B8" w:rsidP="008702B8">
      <w:pPr>
        <w:pStyle w:val="JNP2"/>
        <w:tabs>
          <w:tab w:val="right" w:pos="9026"/>
        </w:tabs>
        <w:ind w:left="0"/>
        <w:rPr>
          <w:sz w:val="24"/>
          <w:szCs w:val="24"/>
          <w:lang w:val="en-AU"/>
        </w:rPr>
      </w:pPr>
      <w:r>
        <w:rPr>
          <w:sz w:val="24"/>
          <w:szCs w:val="24"/>
          <w:lang w:val="en-AU"/>
        </w:rPr>
        <w:t>Senator Arthur Sinodinos AO</w:t>
      </w:r>
      <w:r>
        <w:rPr>
          <w:sz w:val="24"/>
          <w:szCs w:val="24"/>
          <w:lang w:val="en-AU"/>
        </w:rPr>
        <w:tab/>
        <w:t>New South Wales, LP</w:t>
      </w:r>
    </w:p>
    <w:p w:rsidR="008702B8" w:rsidRDefault="008702B8" w:rsidP="008702B8">
      <w:pPr>
        <w:spacing w:after="0"/>
        <w:rPr>
          <w:sz w:val="24"/>
          <w:szCs w:val="24"/>
        </w:rPr>
      </w:pPr>
    </w:p>
    <w:p w:rsidR="008702B8" w:rsidRDefault="008702B8" w:rsidP="008702B8">
      <w:pPr>
        <w:spacing w:after="0"/>
        <w:rPr>
          <w:sz w:val="24"/>
          <w:szCs w:val="24"/>
        </w:rPr>
      </w:pPr>
    </w:p>
    <w:p w:rsidR="008702B8" w:rsidRDefault="008702B8" w:rsidP="008702B8">
      <w:pPr>
        <w:spacing w:after="0"/>
        <w:rPr>
          <w:sz w:val="24"/>
          <w:szCs w:val="24"/>
        </w:rPr>
      </w:pPr>
    </w:p>
    <w:p w:rsidR="008702B8" w:rsidRDefault="008702B8" w:rsidP="008702B8">
      <w:pPr>
        <w:spacing w:after="0"/>
        <w:rPr>
          <w:sz w:val="24"/>
          <w:szCs w:val="24"/>
        </w:rPr>
      </w:pPr>
    </w:p>
    <w:p w:rsidR="008702B8" w:rsidRDefault="008702B8" w:rsidP="008702B8">
      <w:pPr>
        <w:spacing w:after="0"/>
        <w:rPr>
          <w:sz w:val="24"/>
          <w:szCs w:val="24"/>
        </w:rPr>
      </w:pPr>
    </w:p>
    <w:p w:rsidR="008702B8" w:rsidRPr="00915990" w:rsidRDefault="008702B8" w:rsidP="008702B8">
      <w:pPr>
        <w:keepNext/>
        <w:outlineLvl w:val="0"/>
        <w:rPr>
          <w:b/>
        </w:rPr>
      </w:pPr>
      <w:bookmarkStart w:id="3" w:name="_Toc340231484"/>
      <w:r w:rsidRPr="00915990">
        <w:rPr>
          <w:b/>
        </w:rPr>
        <w:t>S</w:t>
      </w:r>
      <w:r>
        <w:rPr>
          <w:b/>
        </w:rPr>
        <w:t>ecretariat</w:t>
      </w:r>
      <w:bookmarkEnd w:id="3"/>
    </w:p>
    <w:p w:rsidR="008702B8" w:rsidRPr="007A6AAA" w:rsidRDefault="008702B8" w:rsidP="008702B8">
      <w:pPr>
        <w:keepNext/>
        <w:spacing w:after="0"/>
        <w:outlineLvl w:val="0"/>
        <w:rPr>
          <w:sz w:val="24"/>
          <w:szCs w:val="24"/>
        </w:rPr>
      </w:pPr>
      <w:bookmarkStart w:id="4" w:name="_Toc340231485"/>
      <w:r w:rsidRPr="007A6AAA">
        <w:rPr>
          <w:sz w:val="24"/>
          <w:szCs w:val="24"/>
        </w:rPr>
        <w:t>Mr Ivan Powell, Secretary</w:t>
      </w:r>
      <w:bookmarkEnd w:id="4"/>
    </w:p>
    <w:p w:rsidR="008702B8" w:rsidRPr="007A6AAA" w:rsidRDefault="008702B8" w:rsidP="008702B8">
      <w:pPr>
        <w:keepNext/>
        <w:spacing w:after="0"/>
        <w:rPr>
          <w:sz w:val="24"/>
          <w:szCs w:val="24"/>
        </w:rPr>
      </w:pPr>
      <w:r w:rsidRPr="007A6AAA">
        <w:rPr>
          <w:sz w:val="24"/>
          <w:szCs w:val="24"/>
        </w:rPr>
        <w:t>Ms Janice Paull, Senior Research Officer</w:t>
      </w:r>
    </w:p>
    <w:p w:rsidR="008702B8" w:rsidRDefault="008702B8" w:rsidP="008702B8">
      <w:pPr>
        <w:spacing w:after="0"/>
        <w:rPr>
          <w:sz w:val="24"/>
          <w:szCs w:val="24"/>
        </w:rPr>
      </w:pPr>
    </w:p>
    <w:p w:rsidR="008702B8" w:rsidRDefault="008702B8" w:rsidP="008702B8">
      <w:pPr>
        <w:spacing w:after="0"/>
        <w:rPr>
          <w:sz w:val="24"/>
          <w:szCs w:val="24"/>
        </w:rPr>
      </w:pPr>
    </w:p>
    <w:p w:rsidR="008702B8" w:rsidRDefault="008702B8" w:rsidP="008702B8">
      <w:pPr>
        <w:spacing w:after="0"/>
        <w:rPr>
          <w:sz w:val="24"/>
          <w:szCs w:val="24"/>
        </w:rPr>
      </w:pPr>
    </w:p>
    <w:p w:rsidR="008702B8" w:rsidRDefault="008702B8" w:rsidP="008702B8">
      <w:pPr>
        <w:spacing w:after="0"/>
        <w:rPr>
          <w:sz w:val="24"/>
          <w:szCs w:val="24"/>
        </w:rPr>
      </w:pPr>
    </w:p>
    <w:p w:rsidR="008702B8" w:rsidRPr="007A6AAA" w:rsidRDefault="008702B8" w:rsidP="008702B8">
      <w:pPr>
        <w:spacing w:after="0"/>
        <w:rPr>
          <w:sz w:val="24"/>
          <w:szCs w:val="24"/>
        </w:rPr>
      </w:pPr>
    </w:p>
    <w:p w:rsidR="008702B8" w:rsidRPr="00915990" w:rsidRDefault="008702B8" w:rsidP="008702B8">
      <w:pPr>
        <w:keepNext/>
        <w:outlineLvl w:val="0"/>
        <w:rPr>
          <w:b/>
        </w:rPr>
      </w:pPr>
      <w:bookmarkStart w:id="5" w:name="_Toc340231486"/>
      <w:r>
        <w:rPr>
          <w:b/>
        </w:rPr>
        <w:t>Committee legal adviser</w:t>
      </w:r>
      <w:bookmarkEnd w:id="5"/>
    </w:p>
    <w:p w:rsidR="008702B8" w:rsidRPr="001B64F3" w:rsidRDefault="008702B8" w:rsidP="008702B8">
      <w:pPr>
        <w:keepNext/>
        <w:spacing w:after="0"/>
        <w:rPr>
          <w:sz w:val="24"/>
          <w:szCs w:val="24"/>
        </w:rPr>
      </w:pPr>
      <w:r>
        <w:rPr>
          <w:sz w:val="24"/>
          <w:szCs w:val="24"/>
        </w:rPr>
        <w:t>Mr Stephen Argument</w:t>
      </w:r>
    </w:p>
    <w:p w:rsidR="008702B8" w:rsidRDefault="008702B8" w:rsidP="008702B8">
      <w:pPr>
        <w:spacing w:after="0"/>
        <w:rPr>
          <w:sz w:val="24"/>
          <w:szCs w:val="24"/>
        </w:rPr>
      </w:pPr>
    </w:p>
    <w:p w:rsidR="008702B8" w:rsidRDefault="008702B8" w:rsidP="008702B8">
      <w:pPr>
        <w:spacing w:after="0"/>
        <w:rPr>
          <w:sz w:val="24"/>
          <w:szCs w:val="24"/>
        </w:rPr>
      </w:pPr>
    </w:p>
    <w:p w:rsidR="008702B8" w:rsidRDefault="008702B8" w:rsidP="008702B8">
      <w:pPr>
        <w:spacing w:after="0"/>
        <w:rPr>
          <w:sz w:val="24"/>
          <w:szCs w:val="24"/>
        </w:rPr>
      </w:pPr>
    </w:p>
    <w:p w:rsidR="008702B8" w:rsidRPr="001B64F3" w:rsidRDefault="008702B8" w:rsidP="008702B8">
      <w:pPr>
        <w:spacing w:after="0"/>
        <w:rPr>
          <w:sz w:val="24"/>
          <w:szCs w:val="24"/>
        </w:rPr>
      </w:pPr>
    </w:p>
    <w:p w:rsidR="008702B8" w:rsidRPr="001B64F3" w:rsidRDefault="008702B8" w:rsidP="008702B8">
      <w:pPr>
        <w:spacing w:after="0"/>
        <w:rPr>
          <w:sz w:val="24"/>
          <w:szCs w:val="24"/>
        </w:rPr>
      </w:pPr>
    </w:p>
    <w:p w:rsidR="008702B8" w:rsidRPr="001F6A19" w:rsidRDefault="008702B8" w:rsidP="008702B8">
      <w:pPr>
        <w:keepNext/>
        <w:outlineLvl w:val="0"/>
        <w:rPr>
          <w:b/>
        </w:rPr>
      </w:pPr>
      <w:bookmarkStart w:id="6" w:name="_Toc340231487"/>
      <w:r>
        <w:rPr>
          <w:b/>
        </w:rPr>
        <w:t>Committee contacts</w:t>
      </w:r>
      <w:bookmarkEnd w:id="6"/>
    </w:p>
    <w:p w:rsidR="008702B8" w:rsidRPr="001F6A19" w:rsidRDefault="008702B8" w:rsidP="008702B8">
      <w:pPr>
        <w:keepNext/>
        <w:spacing w:after="0"/>
        <w:outlineLvl w:val="0"/>
        <w:rPr>
          <w:sz w:val="24"/>
          <w:szCs w:val="24"/>
        </w:rPr>
      </w:pPr>
      <w:bookmarkStart w:id="7" w:name="_Toc340231488"/>
      <w:r w:rsidRPr="001F6A19">
        <w:rPr>
          <w:sz w:val="24"/>
          <w:szCs w:val="24"/>
        </w:rPr>
        <w:t>PO Box 6100</w:t>
      </w:r>
      <w:bookmarkEnd w:id="7"/>
    </w:p>
    <w:p w:rsidR="008702B8" w:rsidRPr="001F6A19" w:rsidRDefault="008702B8" w:rsidP="008702B8">
      <w:pPr>
        <w:keepNext/>
        <w:spacing w:after="0"/>
        <w:rPr>
          <w:sz w:val="24"/>
          <w:szCs w:val="24"/>
        </w:rPr>
      </w:pPr>
      <w:r w:rsidRPr="001F6A19">
        <w:rPr>
          <w:sz w:val="24"/>
          <w:szCs w:val="24"/>
        </w:rPr>
        <w:t>Parliament House</w:t>
      </w:r>
    </w:p>
    <w:p w:rsidR="008702B8" w:rsidRPr="001F6A19" w:rsidRDefault="008702B8" w:rsidP="008702B8">
      <w:pPr>
        <w:keepNext/>
        <w:spacing w:after="0"/>
        <w:rPr>
          <w:sz w:val="24"/>
          <w:szCs w:val="24"/>
        </w:rPr>
      </w:pPr>
      <w:r w:rsidRPr="001F6A19">
        <w:rPr>
          <w:sz w:val="24"/>
          <w:szCs w:val="24"/>
        </w:rPr>
        <w:t>Canberra ACT 2600</w:t>
      </w:r>
    </w:p>
    <w:p w:rsidR="008702B8" w:rsidRDefault="008702B8" w:rsidP="008702B8">
      <w:pPr>
        <w:keepNext/>
        <w:tabs>
          <w:tab w:val="left" w:pos="600"/>
        </w:tabs>
        <w:spacing w:after="0"/>
        <w:rPr>
          <w:sz w:val="24"/>
          <w:szCs w:val="24"/>
        </w:rPr>
      </w:pPr>
      <w:r>
        <w:rPr>
          <w:sz w:val="24"/>
          <w:szCs w:val="24"/>
        </w:rPr>
        <w:t>Ph: 02 6277 3066</w:t>
      </w:r>
    </w:p>
    <w:p w:rsidR="008702B8" w:rsidRPr="001F6A19" w:rsidRDefault="008702B8" w:rsidP="008702B8">
      <w:pPr>
        <w:keepNext/>
        <w:tabs>
          <w:tab w:val="left" w:pos="600"/>
        </w:tabs>
        <w:spacing w:before="240" w:after="0"/>
        <w:rPr>
          <w:sz w:val="24"/>
          <w:szCs w:val="24"/>
        </w:rPr>
      </w:pPr>
      <w:r w:rsidRPr="001F6A19">
        <w:rPr>
          <w:sz w:val="24"/>
          <w:szCs w:val="24"/>
        </w:rPr>
        <w:t xml:space="preserve">Email: </w:t>
      </w:r>
      <w:r>
        <w:rPr>
          <w:sz w:val="24"/>
          <w:szCs w:val="24"/>
        </w:rPr>
        <w:t>r</w:t>
      </w:r>
      <w:r w:rsidRPr="001F6A19">
        <w:rPr>
          <w:sz w:val="24"/>
          <w:szCs w:val="24"/>
        </w:rPr>
        <w:t>eg</w:t>
      </w:r>
      <w:r>
        <w:rPr>
          <w:sz w:val="24"/>
          <w:szCs w:val="24"/>
        </w:rPr>
        <w:t>o</w:t>
      </w:r>
      <w:r w:rsidRPr="001F6A19">
        <w:rPr>
          <w:sz w:val="24"/>
          <w:szCs w:val="24"/>
        </w:rPr>
        <w:t>rds.</w:t>
      </w:r>
      <w:r>
        <w:rPr>
          <w:sz w:val="24"/>
          <w:szCs w:val="24"/>
        </w:rPr>
        <w:t>s</w:t>
      </w:r>
      <w:r w:rsidRPr="001F6A19">
        <w:rPr>
          <w:sz w:val="24"/>
          <w:szCs w:val="24"/>
        </w:rPr>
        <w:t>en@aph.gov.au</w:t>
      </w:r>
    </w:p>
    <w:p w:rsidR="008702B8" w:rsidRDefault="008702B8" w:rsidP="008702B8">
      <w:pPr>
        <w:keepNext/>
        <w:spacing w:before="240" w:after="0"/>
        <w:outlineLvl w:val="0"/>
        <w:rPr>
          <w:sz w:val="24"/>
          <w:szCs w:val="24"/>
        </w:rPr>
      </w:pPr>
      <w:bookmarkStart w:id="8" w:name="_Toc340231489"/>
      <w:r>
        <w:rPr>
          <w:sz w:val="24"/>
          <w:szCs w:val="24"/>
        </w:rPr>
        <w:t xml:space="preserve">Website: </w:t>
      </w:r>
      <w:r w:rsidRPr="007A6AAA">
        <w:rPr>
          <w:sz w:val="20"/>
        </w:rPr>
        <w:t>http://www.aph.gov.au/Parliamentary_Business/Committees/Senate_Committees?url=regord_ctte/index.htm</w:t>
      </w:r>
      <w:bookmarkEnd w:id="8"/>
      <w:r>
        <w:rPr>
          <w:sz w:val="24"/>
          <w:szCs w:val="24"/>
        </w:rPr>
        <w:t xml:space="preserve"> </w:t>
      </w:r>
    </w:p>
    <w:p w:rsidR="008702B8" w:rsidRPr="005147D7" w:rsidRDefault="008702B8" w:rsidP="008702B8">
      <w:pPr>
        <w:pStyle w:val="Heading1"/>
        <w:spacing w:before="0" w:after="240"/>
      </w:pPr>
      <w:r>
        <w:br w:type="page"/>
      </w:r>
      <w:r>
        <w:lastRenderedPageBreak/>
        <w:br w:type="page"/>
      </w:r>
      <w:r>
        <w:lastRenderedPageBreak/>
        <w:t>C</w:t>
      </w:r>
      <w:r w:rsidRPr="005147D7">
        <w:t>ontents</w:t>
      </w:r>
    </w:p>
    <w:tbl>
      <w:tblPr>
        <w:tblW w:w="9180" w:type="dxa"/>
        <w:tblLook w:val="04A0" w:firstRow="1" w:lastRow="0" w:firstColumn="1" w:lastColumn="0" w:noHBand="0" w:noVBand="1"/>
      </w:tblPr>
      <w:tblGrid>
        <w:gridCol w:w="250"/>
        <w:gridCol w:w="8080"/>
        <w:gridCol w:w="850"/>
      </w:tblGrid>
      <w:tr w:rsidR="008702B8" w:rsidRPr="007532FF" w:rsidTr="001E0AC1">
        <w:tc>
          <w:tcPr>
            <w:tcW w:w="8330" w:type="dxa"/>
            <w:gridSpan w:val="2"/>
          </w:tcPr>
          <w:p w:rsidR="008702B8" w:rsidRPr="00A00401" w:rsidRDefault="008702B8" w:rsidP="001E0AC1">
            <w:pPr>
              <w:tabs>
                <w:tab w:val="right" w:pos="8789"/>
              </w:tabs>
              <w:spacing w:before="120" w:after="120"/>
              <w:rPr>
                <w:rStyle w:val="Strong"/>
              </w:rPr>
            </w:pPr>
            <w:r w:rsidRPr="00A00401">
              <w:rPr>
                <w:rStyle w:val="Strong"/>
              </w:rPr>
              <w:t>Membership of committee</w:t>
            </w:r>
          </w:p>
        </w:tc>
        <w:tc>
          <w:tcPr>
            <w:tcW w:w="850" w:type="dxa"/>
          </w:tcPr>
          <w:p w:rsidR="008702B8" w:rsidRPr="007532FF" w:rsidRDefault="008702B8" w:rsidP="001E0AC1">
            <w:pPr>
              <w:tabs>
                <w:tab w:val="right" w:pos="601"/>
                <w:tab w:val="right" w:pos="8789"/>
              </w:tabs>
              <w:spacing w:before="120" w:after="120"/>
              <w:ind w:left="317" w:right="-1077" w:hanging="317"/>
              <w:rPr>
                <w:sz w:val="22"/>
                <w:szCs w:val="22"/>
              </w:rPr>
            </w:pPr>
            <w:r>
              <w:rPr>
                <w:sz w:val="22"/>
                <w:szCs w:val="22"/>
              </w:rPr>
              <w:tab/>
              <w:t>iii</w:t>
            </w:r>
          </w:p>
        </w:tc>
      </w:tr>
      <w:tr w:rsidR="008702B8" w:rsidRPr="007532FF" w:rsidTr="001E0AC1">
        <w:tc>
          <w:tcPr>
            <w:tcW w:w="8330" w:type="dxa"/>
            <w:gridSpan w:val="2"/>
          </w:tcPr>
          <w:p w:rsidR="008702B8" w:rsidRPr="007532FF" w:rsidRDefault="008702B8" w:rsidP="001E0AC1">
            <w:pPr>
              <w:tabs>
                <w:tab w:val="left" w:pos="7655"/>
                <w:tab w:val="right" w:pos="8789"/>
              </w:tabs>
              <w:spacing w:before="120" w:after="120"/>
              <w:rPr>
                <w:rStyle w:val="Strong"/>
                <w:sz w:val="22"/>
                <w:szCs w:val="22"/>
              </w:rPr>
            </w:pPr>
            <w:r w:rsidRPr="00A00401">
              <w:rPr>
                <w:rStyle w:val="Strong"/>
              </w:rPr>
              <w:t>Introduction</w:t>
            </w:r>
          </w:p>
        </w:tc>
        <w:tc>
          <w:tcPr>
            <w:tcW w:w="850" w:type="dxa"/>
          </w:tcPr>
          <w:p w:rsidR="008702B8" w:rsidRPr="007532FF" w:rsidRDefault="008702B8" w:rsidP="001E0AC1">
            <w:pPr>
              <w:tabs>
                <w:tab w:val="right" w:pos="601"/>
                <w:tab w:val="right" w:pos="8789"/>
              </w:tabs>
              <w:spacing w:before="120" w:after="120"/>
              <w:ind w:left="317" w:right="-1077" w:hanging="317"/>
              <w:rPr>
                <w:sz w:val="22"/>
                <w:szCs w:val="22"/>
              </w:rPr>
            </w:pPr>
            <w:r w:rsidRPr="007532FF">
              <w:rPr>
                <w:sz w:val="22"/>
                <w:szCs w:val="22"/>
              </w:rPr>
              <w:tab/>
            </w:r>
            <w:r>
              <w:rPr>
                <w:sz w:val="22"/>
                <w:szCs w:val="22"/>
              </w:rPr>
              <w:t>vii</w:t>
            </w:r>
          </w:p>
        </w:tc>
      </w:tr>
      <w:tr w:rsidR="008702B8" w:rsidRPr="007532FF" w:rsidTr="001E0AC1">
        <w:tc>
          <w:tcPr>
            <w:tcW w:w="8330" w:type="dxa"/>
            <w:gridSpan w:val="2"/>
          </w:tcPr>
          <w:p w:rsidR="008702B8" w:rsidRPr="00A00401" w:rsidRDefault="008702B8" w:rsidP="001E0AC1">
            <w:pPr>
              <w:tabs>
                <w:tab w:val="left" w:pos="7655"/>
                <w:tab w:val="right" w:pos="8789"/>
              </w:tabs>
              <w:spacing w:before="120" w:after="120"/>
              <w:rPr>
                <w:rStyle w:val="Strong"/>
              </w:rPr>
            </w:pPr>
            <w:r w:rsidRPr="00A00401">
              <w:rPr>
                <w:rStyle w:val="Strong"/>
              </w:rPr>
              <w:t>Chapter 1 – New and continuing matters</w:t>
            </w:r>
          </w:p>
        </w:tc>
        <w:tc>
          <w:tcPr>
            <w:tcW w:w="850" w:type="dxa"/>
          </w:tcPr>
          <w:p w:rsidR="008702B8" w:rsidRPr="007532FF" w:rsidRDefault="008702B8" w:rsidP="001E0AC1">
            <w:pPr>
              <w:tabs>
                <w:tab w:val="right" w:pos="601"/>
                <w:tab w:val="right" w:pos="8789"/>
              </w:tabs>
              <w:spacing w:before="120" w:after="120"/>
              <w:ind w:left="317" w:right="-1077" w:hanging="317"/>
              <w:rPr>
                <w:sz w:val="22"/>
                <w:szCs w:val="22"/>
              </w:rPr>
            </w:pPr>
            <w:r w:rsidRPr="007532FF">
              <w:rPr>
                <w:sz w:val="22"/>
                <w:szCs w:val="22"/>
              </w:rPr>
              <w:tab/>
            </w:r>
          </w:p>
        </w:tc>
      </w:tr>
      <w:tr w:rsidR="008702B8" w:rsidRPr="007532FF" w:rsidTr="001E0AC1">
        <w:tc>
          <w:tcPr>
            <w:tcW w:w="250" w:type="dxa"/>
          </w:tcPr>
          <w:p w:rsidR="008702B8" w:rsidRPr="007532FF" w:rsidRDefault="008702B8" w:rsidP="001E0AC1">
            <w:pPr>
              <w:tabs>
                <w:tab w:val="left" w:pos="7655"/>
                <w:tab w:val="right" w:pos="8789"/>
              </w:tabs>
              <w:spacing w:before="60" w:after="60"/>
              <w:rPr>
                <w:rStyle w:val="Strong"/>
                <w:b w:val="0"/>
                <w:sz w:val="22"/>
                <w:szCs w:val="22"/>
              </w:rPr>
            </w:pPr>
          </w:p>
        </w:tc>
        <w:tc>
          <w:tcPr>
            <w:tcW w:w="8080" w:type="dxa"/>
          </w:tcPr>
          <w:p w:rsidR="008702B8" w:rsidRPr="0032179C" w:rsidRDefault="008702B8" w:rsidP="001E0AC1">
            <w:pPr>
              <w:tabs>
                <w:tab w:val="right" w:pos="1167"/>
                <w:tab w:val="right" w:pos="8789"/>
              </w:tabs>
              <w:spacing w:before="60" w:after="60"/>
              <w:ind w:right="459"/>
              <w:rPr>
                <w:sz w:val="22"/>
                <w:szCs w:val="22"/>
              </w:rPr>
            </w:pPr>
            <w:r w:rsidRPr="0032179C">
              <w:rPr>
                <w:noProof/>
                <w:sz w:val="22"/>
                <w:szCs w:val="22"/>
              </w:rPr>
              <w:t xml:space="preserve">Carbon Credits (Carbon Farming Initiative) (Destruction of Methane Generated from Dairy Manure in Covered Anaerobic Ponds) Methodology Determination 2012 </w:t>
            </w:r>
            <w:r w:rsidRPr="0032179C">
              <w:rPr>
                <w:sz w:val="22"/>
                <w:szCs w:val="22"/>
              </w:rPr>
              <w:t>[F2012L02571]</w:t>
            </w:r>
          </w:p>
        </w:tc>
        <w:tc>
          <w:tcPr>
            <w:tcW w:w="850" w:type="dxa"/>
          </w:tcPr>
          <w:p w:rsidR="008702B8" w:rsidRPr="007532FF" w:rsidRDefault="008702B8" w:rsidP="001E0AC1">
            <w:pPr>
              <w:tabs>
                <w:tab w:val="right" w:pos="644"/>
                <w:tab w:val="right" w:pos="8789"/>
              </w:tabs>
              <w:spacing w:before="60" w:after="60"/>
              <w:ind w:left="317" w:right="-1076" w:hanging="317"/>
              <w:rPr>
                <w:sz w:val="22"/>
                <w:szCs w:val="22"/>
              </w:rPr>
            </w:pPr>
            <w:r w:rsidRPr="007532FF">
              <w:rPr>
                <w:sz w:val="22"/>
                <w:szCs w:val="22"/>
              </w:rPr>
              <w:tab/>
            </w:r>
            <w:r>
              <w:rPr>
                <w:sz w:val="22"/>
                <w:szCs w:val="22"/>
              </w:rPr>
              <w:t>95</w:t>
            </w:r>
          </w:p>
        </w:tc>
      </w:tr>
      <w:tr w:rsidR="008702B8" w:rsidRPr="007532FF" w:rsidTr="001E0AC1">
        <w:tc>
          <w:tcPr>
            <w:tcW w:w="250" w:type="dxa"/>
          </w:tcPr>
          <w:p w:rsidR="008702B8" w:rsidRPr="007532FF" w:rsidRDefault="008702B8" w:rsidP="001E0AC1">
            <w:pPr>
              <w:tabs>
                <w:tab w:val="left" w:pos="7655"/>
                <w:tab w:val="right" w:pos="8789"/>
              </w:tabs>
              <w:spacing w:before="60" w:after="60"/>
              <w:rPr>
                <w:rStyle w:val="Strong"/>
                <w:b w:val="0"/>
                <w:sz w:val="22"/>
                <w:szCs w:val="22"/>
              </w:rPr>
            </w:pPr>
          </w:p>
        </w:tc>
        <w:tc>
          <w:tcPr>
            <w:tcW w:w="8080" w:type="dxa"/>
          </w:tcPr>
          <w:p w:rsidR="008702B8" w:rsidRPr="0032179C" w:rsidRDefault="008702B8" w:rsidP="001E0AC1">
            <w:pPr>
              <w:tabs>
                <w:tab w:val="right" w:pos="1167"/>
                <w:tab w:val="right" w:pos="8789"/>
              </w:tabs>
              <w:spacing w:before="60" w:after="60"/>
              <w:ind w:right="459"/>
              <w:rPr>
                <w:sz w:val="22"/>
                <w:szCs w:val="22"/>
              </w:rPr>
            </w:pPr>
            <w:r w:rsidRPr="0032179C">
              <w:rPr>
                <w:noProof/>
                <w:sz w:val="22"/>
                <w:szCs w:val="22"/>
              </w:rPr>
              <w:t>CASA EX 190/12 – Exemption – from standard take-off and landing minima – Airasia X SDN. BHD [F2013L00033]</w:t>
            </w:r>
          </w:p>
        </w:tc>
        <w:tc>
          <w:tcPr>
            <w:tcW w:w="850" w:type="dxa"/>
          </w:tcPr>
          <w:p w:rsidR="008702B8" w:rsidRPr="007532FF" w:rsidRDefault="008702B8" w:rsidP="001E0AC1">
            <w:pPr>
              <w:tabs>
                <w:tab w:val="right" w:pos="644"/>
                <w:tab w:val="right" w:pos="8789"/>
              </w:tabs>
              <w:spacing w:before="60" w:after="60"/>
              <w:ind w:left="317" w:right="-1076" w:hanging="317"/>
              <w:rPr>
                <w:sz w:val="22"/>
                <w:szCs w:val="22"/>
              </w:rPr>
            </w:pPr>
            <w:r w:rsidRPr="007532FF">
              <w:rPr>
                <w:sz w:val="22"/>
                <w:szCs w:val="22"/>
              </w:rPr>
              <w:tab/>
            </w:r>
            <w:r>
              <w:rPr>
                <w:sz w:val="22"/>
                <w:szCs w:val="22"/>
              </w:rPr>
              <w:t>96</w:t>
            </w:r>
          </w:p>
        </w:tc>
      </w:tr>
      <w:tr w:rsidR="008702B8" w:rsidRPr="007532FF" w:rsidTr="001E0AC1">
        <w:tc>
          <w:tcPr>
            <w:tcW w:w="250" w:type="dxa"/>
          </w:tcPr>
          <w:p w:rsidR="008702B8" w:rsidRPr="007532FF" w:rsidRDefault="008702B8" w:rsidP="001E0AC1">
            <w:pPr>
              <w:tabs>
                <w:tab w:val="left" w:pos="7655"/>
                <w:tab w:val="right" w:pos="8789"/>
              </w:tabs>
              <w:spacing w:before="60" w:after="60"/>
              <w:rPr>
                <w:rStyle w:val="Strong"/>
                <w:b w:val="0"/>
                <w:sz w:val="22"/>
                <w:szCs w:val="22"/>
              </w:rPr>
            </w:pPr>
          </w:p>
        </w:tc>
        <w:tc>
          <w:tcPr>
            <w:tcW w:w="8080" w:type="dxa"/>
          </w:tcPr>
          <w:p w:rsidR="008702B8" w:rsidRPr="0032179C" w:rsidRDefault="008702B8" w:rsidP="001E0AC1">
            <w:pPr>
              <w:tabs>
                <w:tab w:val="right" w:pos="1167"/>
                <w:tab w:val="right" w:pos="8789"/>
              </w:tabs>
              <w:spacing w:before="60" w:after="60"/>
              <w:ind w:right="459"/>
              <w:rPr>
                <w:sz w:val="22"/>
                <w:szCs w:val="22"/>
              </w:rPr>
            </w:pPr>
            <w:r w:rsidRPr="0032179C">
              <w:rPr>
                <w:noProof/>
                <w:sz w:val="22"/>
                <w:szCs w:val="22"/>
              </w:rPr>
              <w:t xml:space="preserve">CASA EX191/12 - Exemption - solo flight training using ultralight aeroplanes registered with Recreational Aviation Australia Incorporated at Jandakot Aerodrome </w:t>
            </w:r>
            <w:r w:rsidRPr="0032179C">
              <w:rPr>
                <w:sz w:val="22"/>
                <w:szCs w:val="22"/>
              </w:rPr>
              <w:t>[F2012L02521]</w:t>
            </w:r>
          </w:p>
        </w:tc>
        <w:tc>
          <w:tcPr>
            <w:tcW w:w="850" w:type="dxa"/>
          </w:tcPr>
          <w:p w:rsidR="008702B8" w:rsidRPr="007532FF" w:rsidRDefault="008702B8" w:rsidP="001E0AC1">
            <w:pPr>
              <w:tabs>
                <w:tab w:val="right" w:pos="644"/>
                <w:tab w:val="right" w:pos="8789"/>
              </w:tabs>
              <w:spacing w:before="60" w:after="60"/>
              <w:ind w:left="317" w:right="-1076" w:hanging="317"/>
              <w:rPr>
                <w:sz w:val="22"/>
                <w:szCs w:val="22"/>
              </w:rPr>
            </w:pPr>
            <w:r w:rsidRPr="007532FF">
              <w:rPr>
                <w:sz w:val="22"/>
                <w:szCs w:val="22"/>
              </w:rPr>
              <w:tab/>
            </w:r>
            <w:r>
              <w:rPr>
                <w:sz w:val="22"/>
                <w:szCs w:val="22"/>
              </w:rPr>
              <w:t>97</w:t>
            </w:r>
          </w:p>
        </w:tc>
      </w:tr>
      <w:tr w:rsidR="008702B8" w:rsidRPr="007532FF" w:rsidTr="001E0AC1">
        <w:tc>
          <w:tcPr>
            <w:tcW w:w="250" w:type="dxa"/>
          </w:tcPr>
          <w:p w:rsidR="008702B8" w:rsidRPr="007532FF" w:rsidRDefault="008702B8" w:rsidP="001E0AC1">
            <w:pPr>
              <w:tabs>
                <w:tab w:val="left" w:pos="7655"/>
                <w:tab w:val="right" w:pos="8789"/>
              </w:tabs>
              <w:spacing w:before="60" w:after="60"/>
              <w:rPr>
                <w:rStyle w:val="Strong"/>
                <w:b w:val="0"/>
                <w:sz w:val="22"/>
                <w:szCs w:val="22"/>
              </w:rPr>
            </w:pPr>
          </w:p>
        </w:tc>
        <w:tc>
          <w:tcPr>
            <w:tcW w:w="8080" w:type="dxa"/>
          </w:tcPr>
          <w:p w:rsidR="008702B8" w:rsidRPr="0032179C" w:rsidRDefault="008702B8" w:rsidP="001E0AC1">
            <w:pPr>
              <w:tabs>
                <w:tab w:val="right" w:pos="1167"/>
                <w:tab w:val="right" w:pos="8789"/>
              </w:tabs>
              <w:spacing w:before="60" w:after="60"/>
              <w:ind w:right="459"/>
              <w:rPr>
                <w:sz w:val="22"/>
                <w:szCs w:val="22"/>
              </w:rPr>
            </w:pPr>
            <w:r w:rsidRPr="0032179C">
              <w:rPr>
                <w:noProof/>
                <w:sz w:val="22"/>
                <w:szCs w:val="22"/>
              </w:rPr>
              <w:t xml:space="preserve">Coastal Trading (Revitalising Australian Shipping) Act 2012 – Section 11 exemption for cruise vessels </w:t>
            </w:r>
            <w:r w:rsidRPr="0032179C">
              <w:rPr>
                <w:sz w:val="22"/>
                <w:szCs w:val="22"/>
              </w:rPr>
              <w:t>[F2012L02585]</w:t>
            </w:r>
          </w:p>
        </w:tc>
        <w:tc>
          <w:tcPr>
            <w:tcW w:w="850" w:type="dxa"/>
          </w:tcPr>
          <w:p w:rsidR="008702B8" w:rsidRPr="007532FF" w:rsidRDefault="008702B8" w:rsidP="001E0AC1">
            <w:pPr>
              <w:tabs>
                <w:tab w:val="right" w:pos="644"/>
                <w:tab w:val="right" w:pos="8789"/>
              </w:tabs>
              <w:spacing w:before="60" w:after="60"/>
              <w:ind w:left="317" w:right="-1076" w:hanging="317"/>
              <w:rPr>
                <w:sz w:val="22"/>
                <w:szCs w:val="22"/>
              </w:rPr>
            </w:pPr>
            <w:r w:rsidRPr="007532FF">
              <w:rPr>
                <w:sz w:val="22"/>
                <w:szCs w:val="22"/>
              </w:rPr>
              <w:tab/>
            </w:r>
            <w:r>
              <w:rPr>
                <w:sz w:val="22"/>
                <w:szCs w:val="22"/>
              </w:rPr>
              <w:t>98</w:t>
            </w:r>
          </w:p>
        </w:tc>
      </w:tr>
      <w:tr w:rsidR="008702B8" w:rsidRPr="007532FF" w:rsidTr="001E0AC1">
        <w:tc>
          <w:tcPr>
            <w:tcW w:w="250" w:type="dxa"/>
          </w:tcPr>
          <w:p w:rsidR="008702B8" w:rsidRPr="007532FF" w:rsidRDefault="008702B8" w:rsidP="001E0AC1">
            <w:pPr>
              <w:tabs>
                <w:tab w:val="left" w:pos="7655"/>
                <w:tab w:val="right" w:pos="8789"/>
              </w:tabs>
              <w:spacing w:before="60" w:after="60"/>
              <w:rPr>
                <w:rStyle w:val="Strong"/>
                <w:b w:val="0"/>
                <w:sz w:val="22"/>
                <w:szCs w:val="22"/>
              </w:rPr>
            </w:pPr>
          </w:p>
        </w:tc>
        <w:tc>
          <w:tcPr>
            <w:tcW w:w="8080" w:type="dxa"/>
          </w:tcPr>
          <w:p w:rsidR="008702B8" w:rsidRPr="0032179C" w:rsidRDefault="008702B8" w:rsidP="001E0AC1">
            <w:pPr>
              <w:tabs>
                <w:tab w:val="right" w:pos="1167"/>
                <w:tab w:val="right" w:pos="8789"/>
              </w:tabs>
              <w:spacing w:before="60" w:after="60"/>
              <w:ind w:right="459"/>
              <w:rPr>
                <w:sz w:val="22"/>
                <w:szCs w:val="22"/>
              </w:rPr>
            </w:pPr>
            <w:r w:rsidRPr="0032179C">
              <w:rPr>
                <w:noProof/>
                <w:sz w:val="22"/>
                <w:szCs w:val="22"/>
              </w:rPr>
              <w:t xml:space="preserve">Commonwealth Places (Mirror Taxes) (Modification of Applied Laws (WA)) Amendment Notice 2012 </w:t>
            </w:r>
            <w:r w:rsidRPr="0032179C">
              <w:rPr>
                <w:sz w:val="22"/>
                <w:szCs w:val="22"/>
              </w:rPr>
              <w:t>[F2012L02505]</w:t>
            </w:r>
          </w:p>
        </w:tc>
        <w:tc>
          <w:tcPr>
            <w:tcW w:w="850" w:type="dxa"/>
          </w:tcPr>
          <w:p w:rsidR="008702B8" w:rsidRPr="007532FF" w:rsidRDefault="008702B8" w:rsidP="001E0AC1">
            <w:pPr>
              <w:tabs>
                <w:tab w:val="right" w:pos="644"/>
                <w:tab w:val="right" w:pos="8789"/>
              </w:tabs>
              <w:spacing w:before="60" w:after="60"/>
              <w:ind w:left="317" w:right="-1076" w:hanging="317"/>
              <w:rPr>
                <w:sz w:val="22"/>
                <w:szCs w:val="22"/>
              </w:rPr>
            </w:pPr>
            <w:r w:rsidRPr="007532FF">
              <w:rPr>
                <w:sz w:val="22"/>
                <w:szCs w:val="22"/>
              </w:rPr>
              <w:tab/>
            </w:r>
            <w:r>
              <w:rPr>
                <w:sz w:val="22"/>
                <w:szCs w:val="22"/>
              </w:rPr>
              <w:t>99</w:t>
            </w:r>
          </w:p>
        </w:tc>
      </w:tr>
      <w:tr w:rsidR="008702B8" w:rsidRPr="007532FF" w:rsidTr="001E0AC1">
        <w:tc>
          <w:tcPr>
            <w:tcW w:w="250" w:type="dxa"/>
          </w:tcPr>
          <w:p w:rsidR="008702B8" w:rsidRPr="007532FF" w:rsidRDefault="008702B8" w:rsidP="001E0AC1">
            <w:pPr>
              <w:tabs>
                <w:tab w:val="left" w:pos="7655"/>
                <w:tab w:val="right" w:pos="8789"/>
              </w:tabs>
              <w:spacing w:before="60" w:after="60"/>
              <w:rPr>
                <w:rStyle w:val="Strong"/>
                <w:b w:val="0"/>
                <w:sz w:val="22"/>
                <w:szCs w:val="22"/>
              </w:rPr>
            </w:pPr>
          </w:p>
        </w:tc>
        <w:tc>
          <w:tcPr>
            <w:tcW w:w="8080" w:type="dxa"/>
          </w:tcPr>
          <w:p w:rsidR="008702B8" w:rsidRPr="0032179C" w:rsidRDefault="008702B8" w:rsidP="001E0AC1">
            <w:pPr>
              <w:tabs>
                <w:tab w:val="right" w:pos="1167"/>
                <w:tab w:val="right" w:pos="8789"/>
              </w:tabs>
              <w:spacing w:before="60" w:after="60"/>
              <w:ind w:right="459"/>
              <w:rPr>
                <w:sz w:val="22"/>
                <w:szCs w:val="22"/>
              </w:rPr>
            </w:pPr>
            <w:r w:rsidRPr="0032179C">
              <w:rPr>
                <w:noProof/>
                <w:sz w:val="22"/>
                <w:szCs w:val="22"/>
              </w:rPr>
              <w:t xml:space="preserve">Customs (Malaysian Rules of Origin) Regulation 2012 [Select Legislative Instrument 2012 No. 318] </w:t>
            </w:r>
            <w:r w:rsidRPr="0032179C">
              <w:rPr>
                <w:sz w:val="22"/>
                <w:szCs w:val="22"/>
              </w:rPr>
              <w:t>[F2012L02435]</w:t>
            </w:r>
          </w:p>
        </w:tc>
        <w:tc>
          <w:tcPr>
            <w:tcW w:w="850" w:type="dxa"/>
          </w:tcPr>
          <w:p w:rsidR="008702B8" w:rsidRPr="007532FF" w:rsidRDefault="008702B8" w:rsidP="001E0AC1">
            <w:pPr>
              <w:tabs>
                <w:tab w:val="right" w:pos="644"/>
                <w:tab w:val="right" w:pos="8789"/>
              </w:tabs>
              <w:spacing w:before="60" w:after="60"/>
              <w:ind w:left="317" w:right="-1076" w:hanging="317"/>
              <w:rPr>
                <w:sz w:val="22"/>
                <w:szCs w:val="22"/>
              </w:rPr>
            </w:pPr>
            <w:r w:rsidRPr="007532FF">
              <w:rPr>
                <w:sz w:val="22"/>
                <w:szCs w:val="22"/>
              </w:rPr>
              <w:tab/>
            </w:r>
            <w:r>
              <w:rPr>
                <w:sz w:val="22"/>
                <w:szCs w:val="22"/>
              </w:rPr>
              <w:t>100</w:t>
            </w:r>
          </w:p>
        </w:tc>
      </w:tr>
      <w:tr w:rsidR="008702B8" w:rsidRPr="007532FF" w:rsidTr="001E0AC1">
        <w:tc>
          <w:tcPr>
            <w:tcW w:w="250" w:type="dxa"/>
          </w:tcPr>
          <w:p w:rsidR="008702B8" w:rsidRPr="007532FF" w:rsidRDefault="008702B8" w:rsidP="001E0AC1">
            <w:pPr>
              <w:tabs>
                <w:tab w:val="left" w:pos="7655"/>
                <w:tab w:val="right" w:pos="8789"/>
              </w:tabs>
              <w:spacing w:before="60" w:after="60"/>
              <w:rPr>
                <w:rStyle w:val="Strong"/>
                <w:b w:val="0"/>
                <w:sz w:val="22"/>
                <w:szCs w:val="22"/>
              </w:rPr>
            </w:pPr>
          </w:p>
        </w:tc>
        <w:tc>
          <w:tcPr>
            <w:tcW w:w="8080" w:type="dxa"/>
          </w:tcPr>
          <w:p w:rsidR="008702B8" w:rsidRPr="0032179C" w:rsidRDefault="008702B8" w:rsidP="001E0AC1">
            <w:pPr>
              <w:pStyle w:val="Heading3"/>
              <w:spacing w:beforeLines="60" w:before="144" w:afterLines="60" w:after="144"/>
              <w:outlineLvl w:val="2"/>
              <w:rPr>
                <w:b w:val="0"/>
                <w:noProof/>
                <w:sz w:val="22"/>
                <w:szCs w:val="22"/>
              </w:rPr>
            </w:pPr>
            <w:r w:rsidRPr="0032179C">
              <w:rPr>
                <w:b w:val="0"/>
                <w:noProof/>
                <w:sz w:val="22"/>
                <w:szCs w:val="22"/>
              </w:rPr>
              <w:t xml:space="preserve">Financial Sector (Collection of Data) (reporting standard) determination No. 11 of 2012 - ARS 117.0 - Repricing Analysis </w:t>
            </w:r>
            <w:r w:rsidRPr="0032179C">
              <w:rPr>
                <w:b w:val="0"/>
                <w:sz w:val="22"/>
                <w:szCs w:val="22"/>
              </w:rPr>
              <w:t>[F2012L02490]</w:t>
            </w:r>
            <w:r w:rsidRPr="0032179C">
              <w:rPr>
                <w:b w:val="0"/>
                <w:noProof/>
                <w:sz w:val="22"/>
                <w:szCs w:val="22"/>
              </w:rPr>
              <w:t>; and</w:t>
            </w:r>
          </w:p>
          <w:p w:rsidR="008702B8" w:rsidRPr="0032179C" w:rsidRDefault="008702B8" w:rsidP="001E0AC1">
            <w:pPr>
              <w:pStyle w:val="Heading3"/>
              <w:spacing w:beforeLines="60" w:before="144" w:afterLines="60" w:after="144"/>
              <w:outlineLvl w:val="2"/>
              <w:rPr>
                <w:b w:val="0"/>
                <w:sz w:val="22"/>
                <w:szCs w:val="22"/>
              </w:rPr>
            </w:pPr>
            <w:r w:rsidRPr="0032179C">
              <w:rPr>
                <w:b w:val="0"/>
                <w:noProof/>
                <w:sz w:val="22"/>
                <w:szCs w:val="22"/>
              </w:rPr>
              <w:t xml:space="preserve">Financial Sector (Collection of Data) (reporting standard) determination No. 12 of 2012 - ARS 120.0 - Standardised Approach – Securitisation </w:t>
            </w:r>
            <w:r w:rsidRPr="0032179C">
              <w:rPr>
                <w:b w:val="0"/>
                <w:sz w:val="22"/>
                <w:szCs w:val="22"/>
              </w:rPr>
              <w:t>[F2012L02489]</w:t>
            </w:r>
          </w:p>
        </w:tc>
        <w:tc>
          <w:tcPr>
            <w:tcW w:w="850" w:type="dxa"/>
          </w:tcPr>
          <w:p w:rsidR="008702B8" w:rsidRPr="007532FF" w:rsidRDefault="008702B8" w:rsidP="001E0AC1">
            <w:pPr>
              <w:tabs>
                <w:tab w:val="right" w:pos="644"/>
                <w:tab w:val="right" w:pos="8789"/>
              </w:tabs>
              <w:spacing w:before="60" w:after="60"/>
              <w:ind w:left="317" w:right="-1076" w:hanging="317"/>
              <w:rPr>
                <w:sz w:val="22"/>
                <w:szCs w:val="22"/>
              </w:rPr>
            </w:pPr>
            <w:r w:rsidRPr="007532FF">
              <w:rPr>
                <w:sz w:val="22"/>
                <w:szCs w:val="22"/>
              </w:rPr>
              <w:tab/>
            </w:r>
            <w:r>
              <w:rPr>
                <w:sz w:val="22"/>
                <w:szCs w:val="22"/>
              </w:rPr>
              <w:t>101</w:t>
            </w:r>
          </w:p>
        </w:tc>
      </w:tr>
      <w:tr w:rsidR="008702B8" w:rsidRPr="007532FF" w:rsidTr="001E0AC1">
        <w:tc>
          <w:tcPr>
            <w:tcW w:w="250" w:type="dxa"/>
          </w:tcPr>
          <w:p w:rsidR="008702B8" w:rsidRPr="007532FF" w:rsidRDefault="008702B8" w:rsidP="001E0AC1">
            <w:pPr>
              <w:tabs>
                <w:tab w:val="left" w:pos="7655"/>
                <w:tab w:val="right" w:pos="8789"/>
              </w:tabs>
              <w:spacing w:before="60" w:after="60"/>
              <w:rPr>
                <w:rStyle w:val="Strong"/>
                <w:b w:val="0"/>
                <w:sz w:val="22"/>
                <w:szCs w:val="22"/>
              </w:rPr>
            </w:pPr>
          </w:p>
        </w:tc>
        <w:tc>
          <w:tcPr>
            <w:tcW w:w="8080" w:type="dxa"/>
          </w:tcPr>
          <w:p w:rsidR="008702B8" w:rsidRPr="0032179C" w:rsidRDefault="008702B8" w:rsidP="001E0AC1">
            <w:pPr>
              <w:tabs>
                <w:tab w:val="right" w:pos="1167"/>
                <w:tab w:val="right" w:pos="8789"/>
              </w:tabs>
              <w:spacing w:before="60" w:after="60"/>
              <w:ind w:right="459"/>
              <w:rPr>
                <w:sz w:val="22"/>
                <w:szCs w:val="22"/>
              </w:rPr>
            </w:pPr>
            <w:r w:rsidRPr="0032179C">
              <w:rPr>
                <w:noProof/>
                <w:sz w:val="22"/>
                <w:szCs w:val="22"/>
              </w:rPr>
              <w:t xml:space="preserve">Nuclear Non-Proliferation (Safeguards) Amendment Regulation 2012 (No. 1) [Select Legislative Instrument 2012 No. 292] </w:t>
            </w:r>
            <w:r w:rsidRPr="0032179C">
              <w:rPr>
                <w:sz w:val="22"/>
                <w:szCs w:val="22"/>
              </w:rPr>
              <w:t>[F2012L02423]</w:t>
            </w:r>
          </w:p>
        </w:tc>
        <w:tc>
          <w:tcPr>
            <w:tcW w:w="850" w:type="dxa"/>
          </w:tcPr>
          <w:p w:rsidR="008702B8" w:rsidRPr="007532FF" w:rsidRDefault="008702B8" w:rsidP="001E0AC1">
            <w:pPr>
              <w:tabs>
                <w:tab w:val="right" w:pos="644"/>
                <w:tab w:val="right" w:pos="8789"/>
              </w:tabs>
              <w:spacing w:before="60" w:after="60"/>
              <w:ind w:left="317" w:right="-1076" w:hanging="317"/>
              <w:rPr>
                <w:sz w:val="22"/>
                <w:szCs w:val="22"/>
              </w:rPr>
            </w:pPr>
            <w:r w:rsidRPr="007532FF">
              <w:rPr>
                <w:sz w:val="22"/>
                <w:szCs w:val="22"/>
              </w:rPr>
              <w:tab/>
            </w:r>
            <w:r>
              <w:rPr>
                <w:sz w:val="22"/>
                <w:szCs w:val="22"/>
              </w:rPr>
              <w:t>102</w:t>
            </w:r>
          </w:p>
        </w:tc>
      </w:tr>
      <w:tr w:rsidR="008702B8" w:rsidRPr="007532FF" w:rsidTr="001E0AC1">
        <w:tc>
          <w:tcPr>
            <w:tcW w:w="250" w:type="dxa"/>
          </w:tcPr>
          <w:p w:rsidR="008702B8" w:rsidRPr="007532FF" w:rsidRDefault="008702B8" w:rsidP="001E0AC1">
            <w:pPr>
              <w:tabs>
                <w:tab w:val="left" w:pos="7655"/>
                <w:tab w:val="right" w:pos="8789"/>
              </w:tabs>
              <w:spacing w:before="60" w:after="60"/>
              <w:rPr>
                <w:rStyle w:val="Strong"/>
                <w:b w:val="0"/>
                <w:sz w:val="22"/>
                <w:szCs w:val="22"/>
              </w:rPr>
            </w:pPr>
          </w:p>
        </w:tc>
        <w:tc>
          <w:tcPr>
            <w:tcW w:w="8080" w:type="dxa"/>
          </w:tcPr>
          <w:p w:rsidR="008702B8" w:rsidRPr="0032179C" w:rsidRDefault="008702B8" w:rsidP="001E0AC1">
            <w:pPr>
              <w:pStyle w:val="Heading3"/>
              <w:outlineLvl w:val="2"/>
              <w:rPr>
                <w:b w:val="0"/>
                <w:sz w:val="22"/>
                <w:szCs w:val="22"/>
              </w:rPr>
            </w:pPr>
            <w:r w:rsidRPr="0032179C">
              <w:rPr>
                <w:b w:val="0"/>
                <w:noProof/>
                <w:sz w:val="22"/>
                <w:szCs w:val="22"/>
              </w:rPr>
              <w:t xml:space="preserve">Work Health and Safety Act 2011 (application to Defence activities and Defence members) Declaration 2012 </w:t>
            </w:r>
            <w:r w:rsidRPr="0032179C">
              <w:rPr>
                <w:b w:val="0"/>
                <w:sz w:val="22"/>
                <w:szCs w:val="22"/>
              </w:rPr>
              <w:t>[F2012L02503]</w:t>
            </w:r>
          </w:p>
        </w:tc>
        <w:tc>
          <w:tcPr>
            <w:tcW w:w="850" w:type="dxa"/>
          </w:tcPr>
          <w:p w:rsidR="008702B8" w:rsidRPr="007532FF" w:rsidRDefault="008702B8" w:rsidP="001E0AC1">
            <w:pPr>
              <w:tabs>
                <w:tab w:val="right" w:pos="644"/>
                <w:tab w:val="right" w:pos="8789"/>
              </w:tabs>
              <w:spacing w:before="60" w:after="60"/>
              <w:ind w:left="317" w:right="-1076" w:hanging="317"/>
              <w:rPr>
                <w:sz w:val="22"/>
                <w:szCs w:val="22"/>
              </w:rPr>
            </w:pPr>
            <w:r w:rsidRPr="007532FF">
              <w:rPr>
                <w:sz w:val="22"/>
                <w:szCs w:val="22"/>
              </w:rPr>
              <w:tab/>
            </w:r>
            <w:r>
              <w:rPr>
                <w:sz w:val="22"/>
                <w:szCs w:val="22"/>
              </w:rPr>
              <w:t>102</w:t>
            </w:r>
          </w:p>
        </w:tc>
      </w:tr>
      <w:tr w:rsidR="008702B8" w:rsidRPr="007532FF" w:rsidTr="001E0AC1">
        <w:tc>
          <w:tcPr>
            <w:tcW w:w="250" w:type="dxa"/>
          </w:tcPr>
          <w:p w:rsidR="008702B8" w:rsidRPr="007532FF" w:rsidRDefault="008702B8" w:rsidP="001E0AC1">
            <w:pPr>
              <w:tabs>
                <w:tab w:val="left" w:pos="7655"/>
                <w:tab w:val="right" w:pos="8789"/>
              </w:tabs>
              <w:spacing w:before="60" w:after="60"/>
              <w:rPr>
                <w:rStyle w:val="Strong"/>
                <w:b w:val="0"/>
                <w:sz w:val="22"/>
                <w:szCs w:val="22"/>
              </w:rPr>
            </w:pPr>
          </w:p>
        </w:tc>
        <w:tc>
          <w:tcPr>
            <w:tcW w:w="8080" w:type="dxa"/>
          </w:tcPr>
          <w:p w:rsidR="008702B8" w:rsidRPr="0032179C" w:rsidRDefault="008702B8" w:rsidP="001E0AC1">
            <w:pPr>
              <w:pStyle w:val="Heading3"/>
              <w:spacing w:before="60" w:after="60"/>
              <w:outlineLvl w:val="2"/>
              <w:rPr>
                <w:b w:val="0"/>
                <w:noProof/>
                <w:sz w:val="22"/>
                <w:szCs w:val="22"/>
              </w:rPr>
            </w:pPr>
            <w:r w:rsidRPr="0032179C">
              <w:rPr>
                <w:b w:val="0"/>
                <w:noProof/>
                <w:sz w:val="22"/>
                <w:szCs w:val="22"/>
              </w:rPr>
              <w:t xml:space="preserve">CASA EX193/12 - Exemption - operations by paragliders in the Corryong Open and hang-gliders in the Corryong Cup </w:t>
            </w:r>
            <w:r w:rsidRPr="0032179C">
              <w:rPr>
                <w:b w:val="0"/>
                <w:sz w:val="22"/>
                <w:szCs w:val="22"/>
              </w:rPr>
              <w:t>[F2012L02520]</w:t>
            </w:r>
            <w:r w:rsidRPr="0032179C">
              <w:rPr>
                <w:b w:val="0"/>
                <w:noProof/>
                <w:sz w:val="22"/>
                <w:szCs w:val="22"/>
              </w:rPr>
              <w:t>; and</w:t>
            </w:r>
          </w:p>
          <w:p w:rsidR="008702B8" w:rsidRPr="00ED693D" w:rsidRDefault="008702B8" w:rsidP="001E0AC1">
            <w:pPr>
              <w:pStyle w:val="Heading3"/>
              <w:spacing w:before="60" w:after="60"/>
              <w:outlineLvl w:val="2"/>
              <w:rPr>
                <w:sz w:val="22"/>
                <w:szCs w:val="22"/>
              </w:rPr>
            </w:pPr>
            <w:r w:rsidRPr="0032179C">
              <w:rPr>
                <w:b w:val="0"/>
                <w:noProof/>
                <w:sz w:val="22"/>
                <w:szCs w:val="22"/>
              </w:rPr>
              <w:t xml:space="preserve">CASA EX194/12 - Exemption - operations by hang-gliders in the Forbes Flatlands Hang Gliding Championships 2012-2013 </w:t>
            </w:r>
            <w:r w:rsidRPr="0032179C">
              <w:rPr>
                <w:b w:val="0"/>
                <w:sz w:val="22"/>
                <w:szCs w:val="22"/>
              </w:rPr>
              <w:t>[F2012L02527]</w:t>
            </w:r>
          </w:p>
        </w:tc>
        <w:tc>
          <w:tcPr>
            <w:tcW w:w="850" w:type="dxa"/>
          </w:tcPr>
          <w:p w:rsidR="008702B8" w:rsidRPr="007532FF" w:rsidRDefault="008702B8" w:rsidP="001E0AC1">
            <w:pPr>
              <w:tabs>
                <w:tab w:val="right" w:pos="644"/>
                <w:tab w:val="right" w:pos="8789"/>
              </w:tabs>
              <w:spacing w:before="60" w:after="60"/>
              <w:ind w:left="317" w:right="-1076" w:hanging="317"/>
              <w:rPr>
                <w:sz w:val="22"/>
                <w:szCs w:val="22"/>
              </w:rPr>
            </w:pPr>
            <w:r w:rsidRPr="007532FF">
              <w:rPr>
                <w:sz w:val="22"/>
                <w:szCs w:val="22"/>
              </w:rPr>
              <w:tab/>
            </w:r>
            <w:r>
              <w:rPr>
                <w:sz w:val="22"/>
                <w:szCs w:val="22"/>
              </w:rPr>
              <w:t>103</w:t>
            </w:r>
          </w:p>
        </w:tc>
      </w:tr>
      <w:tr w:rsidR="008702B8" w:rsidRPr="007532FF" w:rsidTr="001E0AC1">
        <w:tc>
          <w:tcPr>
            <w:tcW w:w="250" w:type="dxa"/>
          </w:tcPr>
          <w:p w:rsidR="008702B8" w:rsidRPr="007532FF" w:rsidRDefault="008702B8" w:rsidP="001E0AC1">
            <w:pPr>
              <w:tabs>
                <w:tab w:val="left" w:pos="7655"/>
                <w:tab w:val="right" w:pos="8789"/>
              </w:tabs>
              <w:spacing w:before="60" w:after="60"/>
              <w:rPr>
                <w:rStyle w:val="Strong"/>
                <w:b w:val="0"/>
                <w:sz w:val="22"/>
                <w:szCs w:val="22"/>
              </w:rPr>
            </w:pPr>
          </w:p>
        </w:tc>
        <w:tc>
          <w:tcPr>
            <w:tcW w:w="8080" w:type="dxa"/>
          </w:tcPr>
          <w:p w:rsidR="008702B8" w:rsidRPr="0032179C" w:rsidRDefault="008702B8" w:rsidP="001E0AC1">
            <w:pPr>
              <w:tabs>
                <w:tab w:val="right" w:pos="1167"/>
                <w:tab w:val="right" w:pos="8789"/>
              </w:tabs>
              <w:spacing w:before="60" w:after="60"/>
              <w:ind w:right="459"/>
              <w:rPr>
                <w:sz w:val="22"/>
                <w:szCs w:val="22"/>
              </w:rPr>
            </w:pPr>
            <w:r w:rsidRPr="0032179C">
              <w:rPr>
                <w:noProof/>
                <w:sz w:val="22"/>
                <w:szCs w:val="22"/>
              </w:rPr>
              <w:t xml:space="preserve">Civil Aviation Order 20.18 Amendment Instrument 2012 (No. 2) </w:t>
            </w:r>
            <w:r w:rsidRPr="0032179C">
              <w:rPr>
                <w:sz w:val="22"/>
                <w:szCs w:val="22"/>
              </w:rPr>
              <w:t>[F2012L02556]</w:t>
            </w:r>
          </w:p>
        </w:tc>
        <w:tc>
          <w:tcPr>
            <w:tcW w:w="850" w:type="dxa"/>
          </w:tcPr>
          <w:p w:rsidR="008702B8" w:rsidRPr="007532FF" w:rsidRDefault="008702B8" w:rsidP="001E0AC1">
            <w:pPr>
              <w:tabs>
                <w:tab w:val="right" w:pos="644"/>
                <w:tab w:val="right" w:pos="8789"/>
              </w:tabs>
              <w:spacing w:before="60" w:after="60"/>
              <w:ind w:left="317" w:right="-1076" w:hanging="317"/>
              <w:rPr>
                <w:sz w:val="22"/>
                <w:szCs w:val="22"/>
              </w:rPr>
            </w:pPr>
            <w:r w:rsidRPr="007532FF">
              <w:rPr>
                <w:sz w:val="22"/>
                <w:szCs w:val="22"/>
              </w:rPr>
              <w:tab/>
            </w:r>
            <w:r>
              <w:rPr>
                <w:sz w:val="22"/>
                <w:szCs w:val="22"/>
              </w:rPr>
              <w:t>104</w:t>
            </w:r>
          </w:p>
        </w:tc>
      </w:tr>
      <w:tr w:rsidR="008702B8" w:rsidRPr="007532FF" w:rsidTr="001E0AC1">
        <w:tc>
          <w:tcPr>
            <w:tcW w:w="250" w:type="dxa"/>
          </w:tcPr>
          <w:p w:rsidR="008702B8" w:rsidRPr="007532FF" w:rsidRDefault="008702B8" w:rsidP="001E0AC1">
            <w:pPr>
              <w:tabs>
                <w:tab w:val="left" w:pos="7655"/>
                <w:tab w:val="right" w:pos="8789"/>
              </w:tabs>
              <w:spacing w:before="60" w:after="60"/>
              <w:rPr>
                <w:rStyle w:val="Strong"/>
                <w:b w:val="0"/>
                <w:sz w:val="22"/>
                <w:szCs w:val="22"/>
              </w:rPr>
            </w:pPr>
          </w:p>
        </w:tc>
        <w:tc>
          <w:tcPr>
            <w:tcW w:w="8080" w:type="dxa"/>
          </w:tcPr>
          <w:p w:rsidR="008702B8" w:rsidRPr="0032179C" w:rsidRDefault="008702B8" w:rsidP="001E0AC1">
            <w:pPr>
              <w:tabs>
                <w:tab w:val="right" w:pos="1167"/>
                <w:tab w:val="right" w:pos="8789"/>
              </w:tabs>
              <w:spacing w:before="60" w:after="60"/>
              <w:ind w:right="459"/>
              <w:rPr>
                <w:sz w:val="22"/>
                <w:szCs w:val="22"/>
              </w:rPr>
            </w:pPr>
            <w:r w:rsidRPr="0032179C">
              <w:rPr>
                <w:noProof/>
                <w:sz w:val="22"/>
                <w:szCs w:val="22"/>
              </w:rPr>
              <w:t xml:space="preserve">Fair Entitlements Guarantee Regulation 2012 [Select Legislative Instrument 2012 No. 326] </w:t>
            </w:r>
            <w:r w:rsidRPr="0032179C">
              <w:rPr>
                <w:sz w:val="22"/>
                <w:szCs w:val="22"/>
              </w:rPr>
              <w:t>[F2012L02474]</w:t>
            </w:r>
          </w:p>
        </w:tc>
        <w:tc>
          <w:tcPr>
            <w:tcW w:w="850" w:type="dxa"/>
          </w:tcPr>
          <w:p w:rsidR="008702B8" w:rsidRPr="007532FF" w:rsidRDefault="008702B8" w:rsidP="001E0AC1">
            <w:pPr>
              <w:tabs>
                <w:tab w:val="right" w:pos="644"/>
                <w:tab w:val="right" w:pos="8789"/>
              </w:tabs>
              <w:spacing w:before="60" w:after="60"/>
              <w:ind w:left="317" w:right="-1076" w:hanging="317"/>
              <w:rPr>
                <w:sz w:val="22"/>
                <w:szCs w:val="22"/>
              </w:rPr>
            </w:pPr>
            <w:r w:rsidRPr="007532FF">
              <w:rPr>
                <w:sz w:val="22"/>
                <w:szCs w:val="22"/>
              </w:rPr>
              <w:tab/>
            </w:r>
            <w:r>
              <w:rPr>
                <w:sz w:val="22"/>
                <w:szCs w:val="22"/>
              </w:rPr>
              <w:t>105</w:t>
            </w:r>
          </w:p>
        </w:tc>
      </w:tr>
      <w:tr w:rsidR="008702B8" w:rsidRPr="007532FF" w:rsidTr="001E0AC1">
        <w:tc>
          <w:tcPr>
            <w:tcW w:w="250" w:type="dxa"/>
          </w:tcPr>
          <w:p w:rsidR="008702B8" w:rsidRPr="007532FF" w:rsidRDefault="008702B8" w:rsidP="001E0AC1">
            <w:pPr>
              <w:tabs>
                <w:tab w:val="left" w:pos="7655"/>
                <w:tab w:val="right" w:pos="8789"/>
              </w:tabs>
              <w:spacing w:before="60" w:after="60"/>
              <w:rPr>
                <w:rStyle w:val="Strong"/>
                <w:b w:val="0"/>
                <w:sz w:val="22"/>
                <w:szCs w:val="22"/>
              </w:rPr>
            </w:pPr>
          </w:p>
        </w:tc>
        <w:tc>
          <w:tcPr>
            <w:tcW w:w="8080" w:type="dxa"/>
          </w:tcPr>
          <w:p w:rsidR="008702B8" w:rsidRPr="00ED693D" w:rsidRDefault="008702B8" w:rsidP="001E0AC1">
            <w:pPr>
              <w:tabs>
                <w:tab w:val="right" w:pos="1167"/>
                <w:tab w:val="right" w:pos="8789"/>
              </w:tabs>
              <w:spacing w:before="60" w:after="60"/>
              <w:ind w:right="459"/>
              <w:rPr>
                <w:sz w:val="22"/>
                <w:szCs w:val="22"/>
              </w:rPr>
            </w:pPr>
            <w:r w:rsidRPr="00310C67">
              <w:rPr>
                <w:noProof/>
              </w:rPr>
              <w:t xml:space="preserve">Family Law Amendment Rules 2012 (No. 2) [Select Legislative Instrument 2012 No. 331] </w:t>
            </w:r>
            <w:r w:rsidRPr="000E6FB5">
              <w:t>[F2012L02577]</w:t>
            </w:r>
          </w:p>
        </w:tc>
        <w:tc>
          <w:tcPr>
            <w:tcW w:w="850" w:type="dxa"/>
          </w:tcPr>
          <w:p w:rsidR="008702B8" w:rsidRPr="007532FF" w:rsidRDefault="008702B8" w:rsidP="001E0AC1">
            <w:pPr>
              <w:tabs>
                <w:tab w:val="right" w:pos="644"/>
                <w:tab w:val="right" w:pos="8789"/>
              </w:tabs>
              <w:spacing w:before="60" w:after="60"/>
              <w:ind w:left="317" w:right="-1076" w:hanging="317"/>
              <w:rPr>
                <w:sz w:val="22"/>
                <w:szCs w:val="22"/>
              </w:rPr>
            </w:pPr>
            <w:r w:rsidRPr="007532FF">
              <w:rPr>
                <w:sz w:val="22"/>
                <w:szCs w:val="22"/>
              </w:rPr>
              <w:tab/>
            </w:r>
            <w:r>
              <w:rPr>
                <w:sz w:val="22"/>
                <w:szCs w:val="22"/>
              </w:rPr>
              <w:t>105</w:t>
            </w:r>
          </w:p>
        </w:tc>
      </w:tr>
      <w:tr w:rsidR="008702B8" w:rsidRPr="007532FF" w:rsidTr="001E0AC1">
        <w:tc>
          <w:tcPr>
            <w:tcW w:w="250" w:type="dxa"/>
          </w:tcPr>
          <w:p w:rsidR="008702B8" w:rsidRPr="007532FF" w:rsidRDefault="008702B8" w:rsidP="001E0AC1">
            <w:pPr>
              <w:tabs>
                <w:tab w:val="left" w:pos="7655"/>
                <w:tab w:val="right" w:pos="8789"/>
              </w:tabs>
              <w:spacing w:before="60" w:after="60"/>
              <w:rPr>
                <w:rStyle w:val="Strong"/>
                <w:b w:val="0"/>
                <w:sz w:val="22"/>
                <w:szCs w:val="22"/>
              </w:rPr>
            </w:pPr>
          </w:p>
        </w:tc>
        <w:tc>
          <w:tcPr>
            <w:tcW w:w="8080" w:type="dxa"/>
          </w:tcPr>
          <w:p w:rsidR="008702B8" w:rsidRPr="00ED693D" w:rsidRDefault="008702B8" w:rsidP="001E0AC1">
            <w:pPr>
              <w:tabs>
                <w:tab w:val="right" w:pos="1167"/>
                <w:tab w:val="right" w:pos="8789"/>
              </w:tabs>
              <w:spacing w:before="60" w:after="60"/>
              <w:ind w:right="459"/>
              <w:rPr>
                <w:sz w:val="22"/>
                <w:szCs w:val="22"/>
              </w:rPr>
            </w:pPr>
            <w:r w:rsidRPr="00310C67">
              <w:rPr>
                <w:noProof/>
              </w:rPr>
              <w:t>Health Insurance (Diagnostic Imaging Capital Sensitivity) Amendment Determination 2012 (No. 3)</w:t>
            </w:r>
            <w:r>
              <w:rPr>
                <w:noProof/>
              </w:rPr>
              <w:t xml:space="preserve"> </w:t>
            </w:r>
            <w:r w:rsidRPr="000E6FB5">
              <w:t>[F2012L02510]</w:t>
            </w:r>
          </w:p>
        </w:tc>
        <w:tc>
          <w:tcPr>
            <w:tcW w:w="850" w:type="dxa"/>
          </w:tcPr>
          <w:p w:rsidR="008702B8" w:rsidRPr="007532FF" w:rsidRDefault="008702B8" w:rsidP="001E0AC1">
            <w:pPr>
              <w:tabs>
                <w:tab w:val="right" w:pos="644"/>
                <w:tab w:val="right" w:pos="8789"/>
              </w:tabs>
              <w:spacing w:before="60" w:after="60"/>
              <w:ind w:left="317" w:right="-1076" w:hanging="317"/>
              <w:rPr>
                <w:sz w:val="22"/>
                <w:szCs w:val="22"/>
              </w:rPr>
            </w:pPr>
            <w:r w:rsidRPr="007532FF">
              <w:rPr>
                <w:sz w:val="22"/>
                <w:szCs w:val="22"/>
              </w:rPr>
              <w:tab/>
            </w:r>
            <w:r>
              <w:rPr>
                <w:sz w:val="22"/>
                <w:szCs w:val="22"/>
              </w:rPr>
              <w:t>106</w:t>
            </w:r>
          </w:p>
        </w:tc>
      </w:tr>
      <w:tr w:rsidR="008702B8" w:rsidRPr="007532FF" w:rsidTr="001E0AC1">
        <w:tc>
          <w:tcPr>
            <w:tcW w:w="250" w:type="dxa"/>
          </w:tcPr>
          <w:p w:rsidR="008702B8" w:rsidRPr="007532FF" w:rsidRDefault="008702B8" w:rsidP="001E0AC1">
            <w:pPr>
              <w:tabs>
                <w:tab w:val="left" w:pos="7655"/>
                <w:tab w:val="right" w:pos="8789"/>
              </w:tabs>
              <w:spacing w:before="60" w:after="60"/>
              <w:rPr>
                <w:rStyle w:val="Strong"/>
                <w:b w:val="0"/>
                <w:sz w:val="22"/>
                <w:szCs w:val="22"/>
              </w:rPr>
            </w:pPr>
          </w:p>
        </w:tc>
        <w:tc>
          <w:tcPr>
            <w:tcW w:w="8080" w:type="dxa"/>
          </w:tcPr>
          <w:p w:rsidR="008702B8" w:rsidRPr="00ED693D" w:rsidRDefault="008702B8" w:rsidP="001E0AC1">
            <w:pPr>
              <w:tabs>
                <w:tab w:val="right" w:pos="1167"/>
                <w:tab w:val="right" w:pos="8789"/>
              </w:tabs>
              <w:spacing w:before="60" w:after="60"/>
              <w:ind w:right="459"/>
              <w:rPr>
                <w:sz w:val="22"/>
                <w:szCs w:val="22"/>
              </w:rPr>
            </w:pPr>
            <w:r w:rsidRPr="00310C67">
              <w:rPr>
                <w:noProof/>
              </w:rPr>
              <w:t>Native Title (Assistance from Attorney-General) Guideline 2012</w:t>
            </w:r>
            <w:r>
              <w:rPr>
                <w:noProof/>
              </w:rPr>
              <w:t xml:space="preserve"> </w:t>
            </w:r>
            <w:r w:rsidRPr="000E6FB5">
              <w:t>[F2012L02564]</w:t>
            </w:r>
          </w:p>
        </w:tc>
        <w:tc>
          <w:tcPr>
            <w:tcW w:w="850" w:type="dxa"/>
          </w:tcPr>
          <w:p w:rsidR="008702B8" w:rsidRPr="007532FF" w:rsidRDefault="008702B8" w:rsidP="001E0AC1">
            <w:pPr>
              <w:tabs>
                <w:tab w:val="right" w:pos="644"/>
                <w:tab w:val="right" w:pos="8789"/>
              </w:tabs>
              <w:spacing w:before="60" w:after="60"/>
              <w:ind w:left="317" w:right="-1076" w:hanging="317"/>
              <w:rPr>
                <w:sz w:val="22"/>
                <w:szCs w:val="22"/>
              </w:rPr>
            </w:pPr>
            <w:r w:rsidRPr="007532FF">
              <w:rPr>
                <w:sz w:val="22"/>
                <w:szCs w:val="22"/>
              </w:rPr>
              <w:tab/>
            </w:r>
            <w:r>
              <w:rPr>
                <w:sz w:val="22"/>
                <w:szCs w:val="22"/>
              </w:rPr>
              <w:t>106</w:t>
            </w:r>
          </w:p>
        </w:tc>
      </w:tr>
      <w:tr w:rsidR="008702B8" w:rsidRPr="007532FF" w:rsidTr="001E0AC1">
        <w:tc>
          <w:tcPr>
            <w:tcW w:w="250" w:type="dxa"/>
          </w:tcPr>
          <w:p w:rsidR="008702B8" w:rsidRPr="007532FF" w:rsidRDefault="008702B8" w:rsidP="001E0AC1">
            <w:pPr>
              <w:tabs>
                <w:tab w:val="left" w:pos="7655"/>
                <w:tab w:val="right" w:pos="8789"/>
              </w:tabs>
              <w:spacing w:before="60" w:after="60"/>
              <w:rPr>
                <w:rStyle w:val="Strong"/>
                <w:b w:val="0"/>
                <w:sz w:val="22"/>
                <w:szCs w:val="22"/>
              </w:rPr>
            </w:pPr>
          </w:p>
        </w:tc>
        <w:tc>
          <w:tcPr>
            <w:tcW w:w="8080" w:type="dxa"/>
          </w:tcPr>
          <w:p w:rsidR="008702B8" w:rsidRPr="0032179C" w:rsidRDefault="008702B8" w:rsidP="001E0AC1">
            <w:pPr>
              <w:pStyle w:val="Heading3"/>
              <w:spacing w:after="60"/>
              <w:outlineLvl w:val="2"/>
              <w:rPr>
                <w:b w:val="0"/>
                <w:noProof/>
                <w:sz w:val="22"/>
                <w:szCs w:val="22"/>
              </w:rPr>
            </w:pPr>
            <w:r w:rsidRPr="0032179C">
              <w:rPr>
                <w:b w:val="0"/>
                <w:noProof/>
                <w:sz w:val="22"/>
                <w:szCs w:val="22"/>
              </w:rPr>
              <w:t xml:space="preserve">CASA ADCX 001/13 - Revocation of Airworthiness Directives </w:t>
            </w:r>
            <w:r w:rsidRPr="0032179C">
              <w:rPr>
                <w:b w:val="0"/>
                <w:sz w:val="22"/>
                <w:szCs w:val="22"/>
              </w:rPr>
              <w:t>[F2013L00063]</w:t>
            </w:r>
            <w:r w:rsidRPr="0032179C">
              <w:rPr>
                <w:b w:val="0"/>
                <w:noProof/>
                <w:sz w:val="22"/>
                <w:szCs w:val="22"/>
              </w:rPr>
              <w:t>;</w:t>
            </w:r>
          </w:p>
          <w:p w:rsidR="008702B8" w:rsidRPr="0032179C" w:rsidRDefault="008702B8" w:rsidP="001E0AC1">
            <w:pPr>
              <w:pStyle w:val="Heading3"/>
              <w:spacing w:after="60"/>
              <w:outlineLvl w:val="2"/>
              <w:rPr>
                <w:b w:val="0"/>
                <w:noProof/>
                <w:sz w:val="22"/>
                <w:szCs w:val="22"/>
              </w:rPr>
            </w:pPr>
            <w:r w:rsidRPr="0032179C">
              <w:rPr>
                <w:b w:val="0"/>
                <w:noProof/>
                <w:sz w:val="22"/>
                <w:szCs w:val="22"/>
              </w:rPr>
              <w:lastRenderedPageBreak/>
              <w:t xml:space="preserve">CASA EX03/13 - Exemption — recency requirements for night flying for F100 aircraft (Network Aviation Pty Ltd) </w:t>
            </w:r>
            <w:r w:rsidRPr="0032179C">
              <w:rPr>
                <w:b w:val="0"/>
                <w:sz w:val="22"/>
                <w:szCs w:val="22"/>
              </w:rPr>
              <w:t>[F2013L00068]</w:t>
            </w:r>
            <w:r w:rsidRPr="0032179C">
              <w:rPr>
                <w:b w:val="0"/>
                <w:noProof/>
                <w:sz w:val="22"/>
                <w:szCs w:val="22"/>
              </w:rPr>
              <w:t>;</w:t>
            </w:r>
          </w:p>
          <w:p w:rsidR="008702B8" w:rsidRPr="0032179C" w:rsidRDefault="008702B8" w:rsidP="001E0AC1">
            <w:pPr>
              <w:pStyle w:val="Heading3"/>
              <w:spacing w:after="60"/>
              <w:outlineLvl w:val="2"/>
              <w:rPr>
                <w:b w:val="0"/>
                <w:noProof/>
                <w:sz w:val="22"/>
                <w:szCs w:val="22"/>
              </w:rPr>
            </w:pPr>
            <w:r w:rsidRPr="0032179C">
              <w:rPr>
                <w:b w:val="0"/>
                <w:noProof/>
                <w:sz w:val="22"/>
                <w:szCs w:val="22"/>
              </w:rPr>
              <w:t xml:space="preserve">CASA EX04/13 - Exemption — recency requirements for night flying for Embraer 120 aircraft (Network Aviation Pty Ltd) </w:t>
            </w:r>
            <w:r w:rsidRPr="0032179C">
              <w:rPr>
                <w:b w:val="0"/>
                <w:sz w:val="22"/>
                <w:szCs w:val="22"/>
              </w:rPr>
              <w:t>[F2013L00069]</w:t>
            </w:r>
            <w:r w:rsidRPr="0032179C">
              <w:rPr>
                <w:b w:val="0"/>
                <w:noProof/>
                <w:sz w:val="22"/>
                <w:szCs w:val="22"/>
              </w:rPr>
              <w:t>; and</w:t>
            </w:r>
          </w:p>
          <w:p w:rsidR="008702B8" w:rsidRPr="000478A0" w:rsidRDefault="008702B8" w:rsidP="001E0AC1">
            <w:pPr>
              <w:tabs>
                <w:tab w:val="right" w:pos="1167"/>
                <w:tab w:val="right" w:pos="8789"/>
              </w:tabs>
              <w:spacing w:before="60" w:after="60"/>
              <w:ind w:right="459"/>
              <w:rPr>
                <w:sz w:val="22"/>
                <w:szCs w:val="22"/>
              </w:rPr>
            </w:pPr>
            <w:r w:rsidRPr="000478A0">
              <w:rPr>
                <w:noProof/>
                <w:sz w:val="22"/>
                <w:szCs w:val="22"/>
              </w:rPr>
              <w:t>Civil Aviation Order 20.18 Amendment Instrument 2013 (No. 1)</w:t>
            </w:r>
            <w:r w:rsidRPr="000478A0">
              <w:rPr>
                <w:sz w:val="22"/>
                <w:szCs w:val="22"/>
              </w:rPr>
              <w:t xml:space="preserve"> [F2013L00070]</w:t>
            </w:r>
          </w:p>
        </w:tc>
        <w:tc>
          <w:tcPr>
            <w:tcW w:w="850" w:type="dxa"/>
          </w:tcPr>
          <w:p w:rsidR="008702B8" w:rsidRPr="007532FF" w:rsidRDefault="008702B8" w:rsidP="001E0AC1">
            <w:pPr>
              <w:tabs>
                <w:tab w:val="right" w:pos="644"/>
                <w:tab w:val="right" w:pos="8789"/>
              </w:tabs>
              <w:spacing w:before="60" w:after="60"/>
              <w:ind w:left="317" w:right="-1076" w:hanging="317"/>
              <w:rPr>
                <w:sz w:val="22"/>
                <w:szCs w:val="22"/>
              </w:rPr>
            </w:pPr>
            <w:r w:rsidRPr="007532FF">
              <w:rPr>
                <w:sz w:val="22"/>
                <w:szCs w:val="22"/>
              </w:rPr>
              <w:lastRenderedPageBreak/>
              <w:tab/>
            </w:r>
            <w:r>
              <w:rPr>
                <w:sz w:val="22"/>
                <w:szCs w:val="22"/>
              </w:rPr>
              <w:t>107</w:t>
            </w:r>
          </w:p>
        </w:tc>
      </w:tr>
      <w:tr w:rsidR="008702B8" w:rsidRPr="007532FF" w:rsidTr="001E0AC1">
        <w:tc>
          <w:tcPr>
            <w:tcW w:w="250" w:type="dxa"/>
          </w:tcPr>
          <w:p w:rsidR="008702B8" w:rsidRPr="007532FF" w:rsidRDefault="008702B8" w:rsidP="001E0AC1">
            <w:pPr>
              <w:tabs>
                <w:tab w:val="left" w:pos="7655"/>
                <w:tab w:val="right" w:pos="8789"/>
              </w:tabs>
              <w:spacing w:before="60" w:after="60"/>
              <w:rPr>
                <w:rStyle w:val="Strong"/>
                <w:b w:val="0"/>
                <w:sz w:val="22"/>
                <w:szCs w:val="22"/>
              </w:rPr>
            </w:pPr>
          </w:p>
        </w:tc>
        <w:tc>
          <w:tcPr>
            <w:tcW w:w="8080" w:type="dxa"/>
          </w:tcPr>
          <w:p w:rsidR="008702B8" w:rsidRPr="000478A0" w:rsidRDefault="008702B8" w:rsidP="001E0AC1">
            <w:pPr>
              <w:tabs>
                <w:tab w:val="right" w:pos="1167"/>
                <w:tab w:val="right" w:pos="8789"/>
              </w:tabs>
              <w:spacing w:before="60" w:after="60"/>
              <w:ind w:right="459"/>
              <w:rPr>
                <w:sz w:val="22"/>
                <w:szCs w:val="22"/>
              </w:rPr>
            </w:pPr>
            <w:r w:rsidRPr="000478A0">
              <w:rPr>
                <w:noProof/>
                <w:sz w:val="22"/>
                <w:szCs w:val="22"/>
              </w:rPr>
              <w:t>Defence Determination 2012/68, Reserve employer support payments</w:t>
            </w:r>
          </w:p>
        </w:tc>
        <w:tc>
          <w:tcPr>
            <w:tcW w:w="850" w:type="dxa"/>
          </w:tcPr>
          <w:p w:rsidR="008702B8" w:rsidRPr="007532FF" w:rsidRDefault="008702B8" w:rsidP="001E0AC1">
            <w:pPr>
              <w:tabs>
                <w:tab w:val="right" w:pos="644"/>
                <w:tab w:val="right" w:pos="8789"/>
              </w:tabs>
              <w:spacing w:before="60" w:after="60"/>
              <w:ind w:left="317" w:right="-1076" w:hanging="317"/>
              <w:rPr>
                <w:sz w:val="22"/>
                <w:szCs w:val="22"/>
              </w:rPr>
            </w:pPr>
            <w:r w:rsidRPr="007532FF">
              <w:rPr>
                <w:sz w:val="22"/>
                <w:szCs w:val="22"/>
              </w:rPr>
              <w:tab/>
            </w:r>
            <w:r>
              <w:rPr>
                <w:sz w:val="22"/>
                <w:szCs w:val="22"/>
              </w:rPr>
              <w:t>108</w:t>
            </w:r>
          </w:p>
        </w:tc>
      </w:tr>
      <w:tr w:rsidR="008702B8" w:rsidRPr="007532FF" w:rsidTr="001E0AC1">
        <w:tc>
          <w:tcPr>
            <w:tcW w:w="250" w:type="dxa"/>
          </w:tcPr>
          <w:p w:rsidR="008702B8" w:rsidRPr="007532FF" w:rsidRDefault="008702B8" w:rsidP="001E0AC1">
            <w:pPr>
              <w:tabs>
                <w:tab w:val="left" w:pos="7655"/>
                <w:tab w:val="right" w:pos="8789"/>
              </w:tabs>
              <w:spacing w:before="60" w:after="60"/>
              <w:rPr>
                <w:rStyle w:val="Strong"/>
                <w:b w:val="0"/>
                <w:sz w:val="22"/>
                <w:szCs w:val="22"/>
              </w:rPr>
            </w:pPr>
          </w:p>
        </w:tc>
        <w:tc>
          <w:tcPr>
            <w:tcW w:w="8080" w:type="dxa"/>
          </w:tcPr>
          <w:p w:rsidR="008702B8" w:rsidRPr="000478A0" w:rsidRDefault="008702B8" w:rsidP="001E0AC1">
            <w:pPr>
              <w:tabs>
                <w:tab w:val="right" w:pos="1167"/>
                <w:tab w:val="right" w:pos="8789"/>
              </w:tabs>
              <w:spacing w:before="60" w:after="60"/>
              <w:ind w:right="459"/>
              <w:rPr>
                <w:sz w:val="22"/>
                <w:szCs w:val="22"/>
              </w:rPr>
            </w:pPr>
            <w:r w:rsidRPr="000478A0">
              <w:rPr>
                <w:noProof/>
                <w:sz w:val="22"/>
                <w:szCs w:val="22"/>
              </w:rPr>
              <w:t xml:space="preserve">Water Efficiency Labelling and Standards Determination 2013 </w:t>
            </w:r>
            <w:r w:rsidRPr="000478A0">
              <w:rPr>
                <w:sz w:val="22"/>
                <w:szCs w:val="22"/>
              </w:rPr>
              <w:t>[F2013L00067]</w:t>
            </w:r>
          </w:p>
        </w:tc>
        <w:tc>
          <w:tcPr>
            <w:tcW w:w="850" w:type="dxa"/>
          </w:tcPr>
          <w:p w:rsidR="008702B8" w:rsidRPr="007532FF" w:rsidRDefault="008702B8" w:rsidP="001E0AC1">
            <w:pPr>
              <w:tabs>
                <w:tab w:val="right" w:pos="644"/>
                <w:tab w:val="right" w:pos="8789"/>
              </w:tabs>
              <w:spacing w:before="60" w:after="60"/>
              <w:ind w:left="317" w:right="-1076" w:hanging="317"/>
              <w:rPr>
                <w:sz w:val="22"/>
                <w:szCs w:val="22"/>
              </w:rPr>
            </w:pPr>
            <w:r w:rsidRPr="007532FF">
              <w:rPr>
                <w:sz w:val="22"/>
                <w:szCs w:val="22"/>
              </w:rPr>
              <w:tab/>
            </w:r>
            <w:r>
              <w:rPr>
                <w:sz w:val="22"/>
                <w:szCs w:val="22"/>
              </w:rPr>
              <w:t>109</w:t>
            </w:r>
          </w:p>
        </w:tc>
      </w:tr>
      <w:tr w:rsidR="008702B8" w:rsidRPr="007532FF" w:rsidTr="001E0AC1">
        <w:tc>
          <w:tcPr>
            <w:tcW w:w="250" w:type="dxa"/>
          </w:tcPr>
          <w:p w:rsidR="008702B8" w:rsidRPr="007532FF" w:rsidRDefault="008702B8" w:rsidP="001E0AC1">
            <w:pPr>
              <w:tabs>
                <w:tab w:val="left" w:pos="7655"/>
                <w:tab w:val="right" w:pos="8789"/>
              </w:tabs>
              <w:spacing w:before="60" w:after="60"/>
              <w:rPr>
                <w:rStyle w:val="Strong"/>
                <w:b w:val="0"/>
                <w:sz w:val="22"/>
                <w:szCs w:val="22"/>
              </w:rPr>
            </w:pPr>
          </w:p>
        </w:tc>
        <w:tc>
          <w:tcPr>
            <w:tcW w:w="8080" w:type="dxa"/>
          </w:tcPr>
          <w:p w:rsidR="008702B8" w:rsidRDefault="008702B8" w:rsidP="001E0AC1">
            <w:pPr>
              <w:tabs>
                <w:tab w:val="right" w:pos="1167"/>
                <w:tab w:val="right" w:pos="8789"/>
              </w:tabs>
              <w:spacing w:before="60" w:after="60"/>
              <w:ind w:right="459"/>
              <w:rPr>
                <w:sz w:val="22"/>
                <w:szCs w:val="22"/>
              </w:rPr>
            </w:pPr>
            <w:r>
              <w:rPr>
                <w:noProof/>
                <w:sz w:val="22"/>
                <w:szCs w:val="22"/>
              </w:rPr>
              <w:t xml:space="preserve">Carbon Credits (Carbon Farming Initiative) </w:t>
            </w:r>
            <w:r w:rsidRPr="00762C36">
              <w:rPr>
                <w:noProof/>
                <w:sz w:val="22"/>
                <w:szCs w:val="22"/>
              </w:rPr>
              <w:t xml:space="preserve">(Destruction of Methane Generated from Dairy Manure in Covered Anaerobic Ponds) Methodology Determination 2012 </w:t>
            </w:r>
            <w:r w:rsidRPr="00762C36">
              <w:rPr>
                <w:sz w:val="22"/>
                <w:szCs w:val="22"/>
              </w:rPr>
              <w:t>[F2012L02571]; and</w:t>
            </w:r>
          </w:p>
          <w:p w:rsidR="008702B8" w:rsidRPr="000478A0" w:rsidRDefault="008702B8" w:rsidP="001E0AC1">
            <w:pPr>
              <w:tabs>
                <w:tab w:val="right" w:pos="1167"/>
                <w:tab w:val="right" w:pos="8789"/>
              </w:tabs>
              <w:spacing w:before="60" w:after="60"/>
              <w:ind w:right="459"/>
              <w:rPr>
                <w:sz w:val="22"/>
                <w:szCs w:val="22"/>
              </w:rPr>
            </w:pPr>
            <w:r>
              <w:rPr>
                <w:noProof/>
                <w:sz w:val="22"/>
                <w:szCs w:val="22"/>
              </w:rPr>
              <w:t>(</w:t>
            </w:r>
            <w:r w:rsidRPr="000478A0">
              <w:rPr>
                <w:noProof/>
                <w:sz w:val="22"/>
                <w:szCs w:val="22"/>
              </w:rPr>
              <w:t xml:space="preserve">Carbon Credits (Carbon Farming Initiative) (Destruction of Methane from Piggeries using Engineered Biodigesters) Methodology Determination 2013 </w:t>
            </w:r>
            <w:r w:rsidRPr="000478A0">
              <w:rPr>
                <w:sz w:val="22"/>
                <w:szCs w:val="22"/>
              </w:rPr>
              <w:t>[F2013L00124]</w:t>
            </w:r>
          </w:p>
        </w:tc>
        <w:tc>
          <w:tcPr>
            <w:tcW w:w="850" w:type="dxa"/>
          </w:tcPr>
          <w:p w:rsidR="008702B8" w:rsidRPr="007532FF" w:rsidRDefault="008702B8" w:rsidP="001E0AC1">
            <w:pPr>
              <w:tabs>
                <w:tab w:val="right" w:pos="644"/>
                <w:tab w:val="right" w:pos="8789"/>
              </w:tabs>
              <w:spacing w:before="60" w:after="60"/>
              <w:ind w:left="317" w:right="-1076" w:hanging="317"/>
              <w:rPr>
                <w:sz w:val="22"/>
                <w:szCs w:val="22"/>
              </w:rPr>
            </w:pPr>
            <w:r w:rsidRPr="007532FF">
              <w:rPr>
                <w:sz w:val="22"/>
                <w:szCs w:val="22"/>
              </w:rPr>
              <w:tab/>
            </w:r>
            <w:r>
              <w:rPr>
                <w:sz w:val="22"/>
                <w:szCs w:val="22"/>
              </w:rPr>
              <w:t>109</w:t>
            </w:r>
          </w:p>
        </w:tc>
      </w:tr>
      <w:tr w:rsidR="008702B8" w:rsidRPr="007532FF" w:rsidTr="001E0AC1">
        <w:tc>
          <w:tcPr>
            <w:tcW w:w="250" w:type="dxa"/>
          </w:tcPr>
          <w:p w:rsidR="008702B8" w:rsidRPr="007532FF" w:rsidRDefault="008702B8" w:rsidP="001E0AC1">
            <w:pPr>
              <w:tabs>
                <w:tab w:val="left" w:pos="7655"/>
                <w:tab w:val="right" w:pos="8789"/>
              </w:tabs>
              <w:spacing w:before="60" w:after="60"/>
              <w:rPr>
                <w:rStyle w:val="Strong"/>
                <w:b w:val="0"/>
                <w:sz w:val="22"/>
                <w:szCs w:val="22"/>
              </w:rPr>
            </w:pPr>
          </w:p>
        </w:tc>
        <w:tc>
          <w:tcPr>
            <w:tcW w:w="8080" w:type="dxa"/>
          </w:tcPr>
          <w:p w:rsidR="008702B8" w:rsidRPr="000478A0" w:rsidRDefault="008702B8" w:rsidP="001E0AC1">
            <w:pPr>
              <w:tabs>
                <w:tab w:val="right" w:pos="1167"/>
                <w:tab w:val="right" w:pos="8789"/>
              </w:tabs>
              <w:spacing w:before="60" w:after="60"/>
              <w:ind w:right="459"/>
              <w:rPr>
                <w:sz w:val="22"/>
                <w:szCs w:val="22"/>
              </w:rPr>
            </w:pPr>
            <w:r w:rsidRPr="000478A0">
              <w:rPr>
                <w:noProof/>
                <w:sz w:val="22"/>
                <w:szCs w:val="22"/>
              </w:rPr>
              <w:t xml:space="preserve">CASA EX180/12 - Exemption - maintenance on limited category and experimental aircraft </w:t>
            </w:r>
            <w:r w:rsidRPr="000478A0">
              <w:rPr>
                <w:sz w:val="22"/>
                <w:szCs w:val="22"/>
              </w:rPr>
              <w:t>[F2013L00096</w:t>
            </w:r>
          </w:p>
        </w:tc>
        <w:tc>
          <w:tcPr>
            <w:tcW w:w="850" w:type="dxa"/>
          </w:tcPr>
          <w:p w:rsidR="008702B8" w:rsidRPr="007532FF" w:rsidRDefault="008702B8" w:rsidP="001E0AC1">
            <w:pPr>
              <w:tabs>
                <w:tab w:val="right" w:pos="644"/>
                <w:tab w:val="right" w:pos="8789"/>
              </w:tabs>
              <w:spacing w:before="60" w:after="60"/>
              <w:ind w:left="317" w:right="-1076" w:hanging="317"/>
              <w:rPr>
                <w:sz w:val="22"/>
                <w:szCs w:val="22"/>
              </w:rPr>
            </w:pPr>
            <w:r w:rsidRPr="007532FF">
              <w:rPr>
                <w:sz w:val="22"/>
                <w:szCs w:val="22"/>
              </w:rPr>
              <w:tab/>
            </w:r>
            <w:r>
              <w:rPr>
                <w:sz w:val="22"/>
                <w:szCs w:val="22"/>
              </w:rPr>
              <w:t>1109</w:t>
            </w:r>
          </w:p>
        </w:tc>
      </w:tr>
      <w:tr w:rsidR="008702B8" w:rsidRPr="007532FF" w:rsidTr="001E0AC1">
        <w:tc>
          <w:tcPr>
            <w:tcW w:w="250" w:type="dxa"/>
          </w:tcPr>
          <w:p w:rsidR="008702B8" w:rsidRPr="007532FF" w:rsidRDefault="008702B8" w:rsidP="001E0AC1">
            <w:pPr>
              <w:tabs>
                <w:tab w:val="left" w:pos="7655"/>
                <w:tab w:val="right" w:pos="8789"/>
              </w:tabs>
              <w:spacing w:before="60" w:after="60"/>
              <w:rPr>
                <w:rStyle w:val="Strong"/>
                <w:b w:val="0"/>
                <w:sz w:val="22"/>
                <w:szCs w:val="22"/>
              </w:rPr>
            </w:pPr>
          </w:p>
        </w:tc>
        <w:tc>
          <w:tcPr>
            <w:tcW w:w="8080" w:type="dxa"/>
          </w:tcPr>
          <w:p w:rsidR="008702B8" w:rsidRPr="000478A0" w:rsidRDefault="008702B8" w:rsidP="001E0AC1">
            <w:pPr>
              <w:pStyle w:val="Heading3"/>
              <w:outlineLvl w:val="2"/>
              <w:rPr>
                <w:b w:val="0"/>
                <w:noProof/>
                <w:sz w:val="22"/>
                <w:szCs w:val="22"/>
              </w:rPr>
            </w:pPr>
            <w:r w:rsidRPr="000478A0">
              <w:rPr>
                <w:b w:val="0"/>
                <w:noProof/>
                <w:sz w:val="22"/>
                <w:szCs w:val="22"/>
              </w:rPr>
              <w:t xml:space="preserve">CASA EX01/13 - Exemption - recency requirements for night flying (Alliance Airlines Pty Limited) </w:t>
            </w:r>
            <w:r w:rsidRPr="000478A0">
              <w:rPr>
                <w:b w:val="0"/>
                <w:sz w:val="22"/>
                <w:szCs w:val="22"/>
              </w:rPr>
              <w:t>[F2013L00114]</w:t>
            </w:r>
            <w:r w:rsidRPr="000478A0">
              <w:rPr>
                <w:b w:val="0"/>
                <w:noProof/>
                <w:sz w:val="22"/>
                <w:szCs w:val="22"/>
              </w:rPr>
              <w:t>; and</w:t>
            </w:r>
          </w:p>
          <w:p w:rsidR="008702B8" w:rsidRPr="000478A0" w:rsidRDefault="008702B8" w:rsidP="001E0AC1">
            <w:pPr>
              <w:tabs>
                <w:tab w:val="right" w:pos="1167"/>
                <w:tab w:val="right" w:pos="8789"/>
              </w:tabs>
              <w:spacing w:before="60" w:after="60"/>
              <w:ind w:right="459"/>
              <w:rPr>
                <w:sz w:val="22"/>
                <w:szCs w:val="22"/>
              </w:rPr>
            </w:pPr>
            <w:r w:rsidRPr="000478A0">
              <w:rPr>
                <w:noProof/>
                <w:sz w:val="22"/>
                <w:szCs w:val="22"/>
              </w:rPr>
              <w:t xml:space="preserve">CASA EX08/13 - Exemption - from standard take-off and landing minima - DHL Air Limited </w:t>
            </w:r>
            <w:r w:rsidRPr="000478A0">
              <w:rPr>
                <w:sz w:val="22"/>
                <w:szCs w:val="22"/>
              </w:rPr>
              <w:t>[F2013L00145</w:t>
            </w:r>
            <w:r>
              <w:rPr>
                <w:sz w:val="22"/>
                <w:szCs w:val="22"/>
              </w:rPr>
              <w:t>]</w:t>
            </w:r>
          </w:p>
        </w:tc>
        <w:tc>
          <w:tcPr>
            <w:tcW w:w="850" w:type="dxa"/>
          </w:tcPr>
          <w:p w:rsidR="008702B8" w:rsidRPr="007532FF" w:rsidRDefault="008702B8" w:rsidP="001E0AC1">
            <w:pPr>
              <w:tabs>
                <w:tab w:val="right" w:pos="644"/>
                <w:tab w:val="right" w:pos="8789"/>
              </w:tabs>
              <w:spacing w:before="60" w:after="60"/>
              <w:ind w:left="317" w:right="-1076" w:hanging="317"/>
              <w:rPr>
                <w:sz w:val="22"/>
                <w:szCs w:val="22"/>
              </w:rPr>
            </w:pPr>
            <w:r w:rsidRPr="007532FF">
              <w:rPr>
                <w:sz w:val="22"/>
                <w:szCs w:val="22"/>
              </w:rPr>
              <w:tab/>
            </w:r>
            <w:r>
              <w:rPr>
                <w:sz w:val="22"/>
                <w:szCs w:val="22"/>
              </w:rPr>
              <w:t>111</w:t>
            </w:r>
          </w:p>
        </w:tc>
      </w:tr>
      <w:tr w:rsidR="008702B8" w:rsidRPr="007532FF" w:rsidTr="001E0AC1">
        <w:tc>
          <w:tcPr>
            <w:tcW w:w="250" w:type="dxa"/>
          </w:tcPr>
          <w:p w:rsidR="008702B8" w:rsidRPr="007532FF" w:rsidRDefault="008702B8" w:rsidP="001E0AC1">
            <w:pPr>
              <w:tabs>
                <w:tab w:val="left" w:pos="7655"/>
                <w:tab w:val="right" w:pos="8789"/>
              </w:tabs>
              <w:spacing w:before="60" w:after="60"/>
              <w:rPr>
                <w:rStyle w:val="Strong"/>
                <w:b w:val="0"/>
                <w:sz w:val="22"/>
                <w:szCs w:val="22"/>
              </w:rPr>
            </w:pPr>
          </w:p>
        </w:tc>
        <w:tc>
          <w:tcPr>
            <w:tcW w:w="8080" w:type="dxa"/>
          </w:tcPr>
          <w:p w:rsidR="008702B8" w:rsidRPr="000478A0" w:rsidRDefault="008702B8" w:rsidP="001E0AC1">
            <w:pPr>
              <w:tabs>
                <w:tab w:val="right" w:pos="1167"/>
                <w:tab w:val="right" w:pos="8789"/>
              </w:tabs>
              <w:spacing w:before="60" w:after="60"/>
              <w:ind w:right="459"/>
              <w:rPr>
                <w:sz w:val="22"/>
                <w:szCs w:val="22"/>
              </w:rPr>
            </w:pPr>
            <w:r w:rsidRPr="000478A0">
              <w:rPr>
                <w:noProof/>
                <w:sz w:val="22"/>
                <w:szCs w:val="22"/>
              </w:rPr>
              <w:t>Customs Act 1901 - Amendment of Approved Statement Instrument No. 6 of 2013 - Amendment of "Self-Assessed Clearance Declaration (Sea) (To Be Communicated With a Cargo Report)" [F2013L00142]</w:t>
            </w:r>
          </w:p>
        </w:tc>
        <w:tc>
          <w:tcPr>
            <w:tcW w:w="850" w:type="dxa"/>
          </w:tcPr>
          <w:p w:rsidR="008702B8" w:rsidRPr="007532FF" w:rsidRDefault="008702B8" w:rsidP="001E0AC1">
            <w:pPr>
              <w:tabs>
                <w:tab w:val="right" w:pos="644"/>
                <w:tab w:val="right" w:pos="8789"/>
              </w:tabs>
              <w:spacing w:before="60" w:after="60"/>
              <w:ind w:left="317" w:right="-1076" w:hanging="317"/>
              <w:rPr>
                <w:sz w:val="22"/>
                <w:szCs w:val="22"/>
              </w:rPr>
            </w:pPr>
            <w:r w:rsidRPr="007532FF">
              <w:rPr>
                <w:sz w:val="22"/>
                <w:szCs w:val="22"/>
              </w:rPr>
              <w:tab/>
            </w:r>
            <w:r>
              <w:rPr>
                <w:sz w:val="22"/>
                <w:szCs w:val="22"/>
              </w:rPr>
              <w:t>112</w:t>
            </w:r>
          </w:p>
        </w:tc>
      </w:tr>
      <w:tr w:rsidR="008702B8" w:rsidRPr="007532FF" w:rsidTr="001E0AC1">
        <w:tc>
          <w:tcPr>
            <w:tcW w:w="250" w:type="dxa"/>
          </w:tcPr>
          <w:p w:rsidR="008702B8" w:rsidRPr="007532FF" w:rsidRDefault="008702B8" w:rsidP="001E0AC1">
            <w:pPr>
              <w:tabs>
                <w:tab w:val="left" w:pos="7655"/>
                <w:tab w:val="right" w:pos="8789"/>
              </w:tabs>
              <w:spacing w:before="60" w:after="60"/>
              <w:rPr>
                <w:rStyle w:val="Strong"/>
                <w:b w:val="0"/>
                <w:sz w:val="22"/>
                <w:szCs w:val="22"/>
              </w:rPr>
            </w:pPr>
          </w:p>
        </w:tc>
        <w:tc>
          <w:tcPr>
            <w:tcW w:w="8080" w:type="dxa"/>
          </w:tcPr>
          <w:p w:rsidR="008702B8" w:rsidRPr="000478A0" w:rsidRDefault="008702B8" w:rsidP="001E0AC1">
            <w:pPr>
              <w:tabs>
                <w:tab w:val="right" w:pos="1167"/>
                <w:tab w:val="right" w:pos="8789"/>
              </w:tabs>
              <w:spacing w:before="60" w:after="60"/>
              <w:ind w:right="459"/>
              <w:rPr>
                <w:sz w:val="22"/>
                <w:szCs w:val="22"/>
              </w:rPr>
            </w:pPr>
            <w:r w:rsidRPr="000478A0">
              <w:rPr>
                <w:noProof/>
                <w:sz w:val="22"/>
                <w:szCs w:val="22"/>
              </w:rPr>
              <w:t xml:space="preserve">Amendment of List of Exempt Native Specimens - Pandanus spiralis (18/12/2012) </w:t>
            </w:r>
            <w:r w:rsidRPr="000478A0">
              <w:rPr>
                <w:sz w:val="22"/>
                <w:szCs w:val="22"/>
              </w:rPr>
              <w:t>[F2013L00107]</w:t>
            </w:r>
          </w:p>
        </w:tc>
        <w:tc>
          <w:tcPr>
            <w:tcW w:w="850" w:type="dxa"/>
          </w:tcPr>
          <w:p w:rsidR="008702B8" w:rsidRPr="007532FF" w:rsidRDefault="008702B8" w:rsidP="001E0AC1">
            <w:pPr>
              <w:tabs>
                <w:tab w:val="right" w:pos="644"/>
                <w:tab w:val="right" w:pos="8789"/>
              </w:tabs>
              <w:spacing w:before="60" w:after="60"/>
              <w:ind w:left="317" w:right="-1076" w:hanging="317"/>
              <w:rPr>
                <w:sz w:val="22"/>
                <w:szCs w:val="22"/>
              </w:rPr>
            </w:pPr>
            <w:r w:rsidRPr="007532FF">
              <w:rPr>
                <w:sz w:val="22"/>
                <w:szCs w:val="22"/>
              </w:rPr>
              <w:tab/>
            </w:r>
            <w:r>
              <w:rPr>
                <w:sz w:val="22"/>
                <w:szCs w:val="22"/>
              </w:rPr>
              <w:t>113</w:t>
            </w:r>
          </w:p>
        </w:tc>
      </w:tr>
      <w:tr w:rsidR="008702B8" w:rsidRPr="007532FF" w:rsidTr="001E0AC1">
        <w:tc>
          <w:tcPr>
            <w:tcW w:w="250" w:type="dxa"/>
          </w:tcPr>
          <w:p w:rsidR="008702B8" w:rsidRPr="007532FF" w:rsidRDefault="008702B8" w:rsidP="001E0AC1">
            <w:pPr>
              <w:tabs>
                <w:tab w:val="left" w:pos="7655"/>
                <w:tab w:val="right" w:pos="8789"/>
              </w:tabs>
              <w:spacing w:before="60" w:after="60"/>
              <w:rPr>
                <w:rStyle w:val="Strong"/>
                <w:b w:val="0"/>
                <w:sz w:val="22"/>
                <w:szCs w:val="22"/>
              </w:rPr>
            </w:pPr>
          </w:p>
        </w:tc>
        <w:tc>
          <w:tcPr>
            <w:tcW w:w="8080" w:type="dxa"/>
          </w:tcPr>
          <w:p w:rsidR="008702B8" w:rsidRPr="000478A0" w:rsidRDefault="008702B8" w:rsidP="001E0AC1">
            <w:pPr>
              <w:tabs>
                <w:tab w:val="right" w:pos="1167"/>
                <w:tab w:val="right" w:pos="8789"/>
              </w:tabs>
              <w:spacing w:before="60" w:after="60"/>
              <w:ind w:right="459"/>
              <w:rPr>
                <w:sz w:val="22"/>
                <w:szCs w:val="22"/>
              </w:rPr>
            </w:pPr>
            <w:r w:rsidRPr="000478A0">
              <w:rPr>
                <w:noProof/>
                <w:sz w:val="22"/>
                <w:szCs w:val="22"/>
              </w:rPr>
              <w:t xml:space="preserve">Amendment - List of Specimens Taken to be suitable for Live Import (03/01/2013) </w:t>
            </w:r>
            <w:r w:rsidRPr="000478A0">
              <w:rPr>
                <w:sz w:val="22"/>
                <w:szCs w:val="22"/>
              </w:rPr>
              <w:t>[F2013L00105]</w:t>
            </w:r>
          </w:p>
        </w:tc>
        <w:tc>
          <w:tcPr>
            <w:tcW w:w="850" w:type="dxa"/>
          </w:tcPr>
          <w:p w:rsidR="008702B8" w:rsidRPr="007532FF" w:rsidRDefault="008702B8" w:rsidP="001E0AC1">
            <w:pPr>
              <w:tabs>
                <w:tab w:val="right" w:pos="644"/>
                <w:tab w:val="right" w:pos="8789"/>
              </w:tabs>
              <w:spacing w:before="60" w:after="60"/>
              <w:ind w:left="317" w:right="-1076" w:hanging="317"/>
              <w:rPr>
                <w:sz w:val="22"/>
                <w:szCs w:val="22"/>
              </w:rPr>
            </w:pPr>
            <w:r w:rsidRPr="007532FF">
              <w:rPr>
                <w:sz w:val="22"/>
                <w:szCs w:val="22"/>
              </w:rPr>
              <w:tab/>
            </w:r>
            <w:r>
              <w:rPr>
                <w:sz w:val="22"/>
                <w:szCs w:val="22"/>
              </w:rPr>
              <w:t>113</w:t>
            </w:r>
          </w:p>
        </w:tc>
      </w:tr>
      <w:tr w:rsidR="008702B8" w:rsidRPr="007532FF" w:rsidTr="001E0AC1">
        <w:tc>
          <w:tcPr>
            <w:tcW w:w="250" w:type="dxa"/>
          </w:tcPr>
          <w:p w:rsidR="008702B8" w:rsidRPr="007532FF" w:rsidRDefault="008702B8" w:rsidP="001E0AC1">
            <w:pPr>
              <w:tabs>
                <w:tab w:val="left" w:pos="7655"/>
                <w:tab w:val="right" w:pos="8789"/>
              </w:tabs>
              <w:spacing w:before="60" w:after="60"/>
              <w:rPr>
                <w:rStyle w:val="Strong"/>
                <w:b w:val="0"/>
                <w:sz w:val="22"/>
                <w:szCs w:val="22"/>
              </w:rPr>
            </w:pPr>
          </w:p>
        </w:tc>
        <w:tc>
          <w:tcPr>
            <w:tcW w:w="8080" w:type="dxa"/>
          </w:tcPr>
          <w:p w:rsidR="008702B8" w:rsidRPr="000478A0" w:rsidRDefault="008702B8" w:rsidP="001E0AC1">
            <w:pPr>
              <w:tabs>
                <w:tab w:val="right" w:pos="1167"/>
                <w:tab w:val="right" w:pos="8789"/>
              </w:tabs>
              <w:spacing w:before="60" w:after="60"/>
              <w:ind w:right="459"/>
              <w:rPr>
                <w:sz w:val="22"/>
                <w:szCs w:val="22"/>
              </w:rPr>
            </w:pPr>
            <w:r w:rsidRPr="000478A0">
              <w:rPr>
                <w:noProof/>
                <w:sz w:val="22"/>
                <w:szCs w:val="22"/>
              </w:rPr>
              <w:t>Levy Amount Formula Modification Determination 2013 [F2013L00158]</w:t>
            </w:r>
          </w:p>
        </w:tc>
        <w:tc>
          <w:tcPr>
            <w:tcW w:w="850" w:type="dxa"/>
          </w:tcPr>
          <w:p w:rsidR="008702B8" w:rsidRPr="007532FF" w:rsidRDefault="008702B8" w:rsidP="001E0AC1">
            <w:pPr>
              <w:tabs>
                <w:tab w:val="right" w:pos="644"/>
                <w:tab w:val="right" w:pos="8789"/>
              </w:tabs>
              <w:spacing w:before="60" w:after="60"/>
              <w:ind w:left="317" w:right="-1076" w:hanging="317"/>
              <w:rPr>
                <w:sz w:val="22"/>
                <w:szCs w:val="22"/>
              </w:rPr>
            </w:pPr>
            <w:r w:rsidRPr="007532FF">
              <w:rPr>
                <w:sz w:val="22"/>
                <w:szCs w:val="22"/>
              </w:rPr>
              <w:tab/>
            </w:r>
            <w:r>
              <w:rPr>
                <w:sz w:val="22"/>
                <w:szCs w:val="22"/>
              </w:rPr>
              <w:t>114</w:t>
            </w:r>
          </w:p>
        </w:tc>
      </w:tr>
      <w:tr w:rsidR="008702B8" w:rsidRPr="007532FF" w:rsidTr="001E0AC1">
        <w:tc>
          <w:tcPr>
            <w:tcW w:w="250" w:type="dxa"/>
          </w:tcPr>
          <w:p w:rsidR="008702B8" w:rsidRPr="007532FF" w:rsidRDefault="008702B8" w:rsidP="001E0AC1">
            <w:pPr>
              <w:tabs>
                <w:tab w:val="left" w:pos="7655"/>
                <w:tab w:val="right" w:pos="8789"/>
              </w:tabs>
              <w:spacing w:before="60" w:after="60"/>
              <w:rPr>
                <w:rStyle w:val="Strong"/>
                <w:b w:val="0"/>
                <w:sz w:val="22"/>
                <w:szCs w:val="22"/>
              </w:rPr>
            </w:pPr>
          </w:p>
        </w:tc>
        <w:tc>
          <w:tcPr>
            <w:tcW w:w="8080" w:type="dxa"/>
          </w:tcPr>
          <w:p w:rsidR="008702B8" w:rsidRPr="000478A0" w:rsidRDefault="008702B8" w:rsidP="001E0AC1">
            <w:pPr>
              <w:tabs>
                <w:tab w:val="right" w:pos="1167"/>
                <w:tab w:val="right" w:pos="8789"/>
              </w:tabs>
              <w:spacing w:before="60" w:after="60"/>
              <w:ind w:right="459"/>
              <w:rPr>
                <w:sz w:val="22"/>
                <w:szCs w:val="22"/>
              </w:rPr>
            </w:pPr>
            <w:r w:rsidRPr="000478A0">
              <w:rPr>
                <w:noProof/>
                <w:sz w:val="22"/>
                <w:szCs w:val="22"/>
              </w:rPr>
              <w:t xml:space="preserve">Therapeutic Goods Information (Stakeholder Consultation on the System for Australian Recall Actions) Specification 2013 </w:t>
            </w:r>
            <w:r w:rsidRPr="000478A0">
              <w:rPr>
                <w:sz w:val="22"/>
                <w:szCs w:val="22"/>
              </w:rPr>
              <w:t>[F2013L00117]</w:t>
            </w:r>
          </w:p>
        </w:tc>
        <w:tc>
          <w:tcPr>
            <w:tcW w:w="850" w:type="dxa"/>
          </w:tcPr>
          <w:p w:rsidR="008702B8" w:rsidRPr="007532FF" w:rsidRDefault="008702B8" w:rsidP="001E0AC1">
            <w:pPr>
              <w:tabs>
                <w:tab w:val="right" w:pos="644"/>
                <w:tab w:val="right" w:pos="8789"/>
              </w:tabs>
              <w:spacing w:before="60" w:after="60"/>
              <w:ind w:left="317" w:right="-1076" w:hanging="317"/>
              <w:rPr>
                <w:sz w:val="22"/>
                <w:szCs w:val="22"/>
              </w:rPr>
            </w:pPr>
            <w:r w:rsidRPr="007532FF">
              <w:rPr>
                <w:sz w:val="22"/>
                <w:szCs w:val="22"/>
              </w:rPr>
              <w:tab/>
            </w:r>
            <w:r>
              <w:rPr>
                <w:sz w:val="22"/>
                <w:szCs w:val="22"/>
              </w:rPr>
              <w:t>115</w:t>
            </w:r>
          </w:p>
        </w:tc>
      </w:tr>
      <w:tr w:rsidR="008702B8" w:rsidRPr="007532FF" w:rsidTr="001E0AC1">
        <w:tc>
          <w:tcPr>
            <w:tcW w:w="8330" w:type="dxa"/>
            <w:gridSpan w:val="2"/>
          </w:tcPr>
          <w:p w:rsidR="008702B8" w:rsidRPr="00A00401" w:rsidRDefault="008702B8" w:rsidP="001E0AC1">
            <w:pPr>
              <w:tabs>
                <w:tab w:val="left" w:pos="7655"/>
                <w:tab w:val="right" w:pos="8789"/>
              </w:tabs>
              <w:spacing w:before="120" w:after="120"/>
              <w:rPr>
                <w:rStyle w:val="Strong"/>
              </w:rPr>
            </w:pPr>
            <w:r>
              <w:rPr>
                <w:rStyle w:val="Strong"/>
              </w:rPr>
              <w:t>Chapter</w:t>
            </w:r>
            <w:r w:rsidRPr="00A00401">
              <w:rPr>
                <w:rStyle w:val="Strong"/>
              </w:rPr>
              <w:t xml:space="preserve"> </w:t>
            </w:r>
            <w:r>
              <w:rPr>
                <w:rStyle w:val="Strong"/>
              </w:rPr>
              <w:t>2</w:t>
            </w:r>
            <w:r w:rsidRPr="00A00401">
              <w:rPr>
                <w:rStyle w:val="Strong"/>
              </w:rPr>
              <w:t xml:space="preserve"> –</w:t>
            </w:r>
            <w:r>
              <w:rPr>
                <w:rStyle w:val="Strong"/>
              </w:rPr>
              <w:t xml:space="preserve"> Concluded matters (nil this meeting)</w:t>
            </w:r>
          </w:p>
        </w:tc>
        <w:tc>
          <w:tcPr>
            <w:tcW w:w="850" w:type="dxa"/>
          </w:tcPr>
          <w:p w:rsidR="008702B8" w:rsidRPr="007532FF" w:rsidRDefault="008702B8" w:rsidP="001E0AC1">
            <w:pPr>
              <w:tabs>
                <w:tab w:val="right" w:pos="601"/>
                <w:tab w:val="right" w:pos="8789"/>
              </w:tabs>
              <w:spacing w:before="120" w:after="120"/>
              <w:ind w:left="317" w:right="-1077" w:hanging="317"/>
              <w:rPr>
                <w:sz w:val="22"/>
                <w:szCs w:val="22"/>
              </w:rPr>
            </w:pPr>
            <w:r w:rsidRPr="007532FF">
              <w:rPr>
                <w:sz w:val="22"/>
                <w:szCs w:val="22"/>
              </w:rPr>
              <w:tab/>
            </w:r>
            <w:r>
              <w:rPr>
                <w:sz w:val="22"/>
                <w:szCs w:val="22"/>
              </w:rPr>
              <w:t>117</w:t>
            </w:r>
          </w:p>
        </w:tc>
      </w:tr>
      <w:tr w:rsidR="008702B8" w:rsidRPr="007532FF" w:rsidTr="001E0AC1">
        <w:tc>
          <w:tcPr>
            <w:tcW w:w="8330" w:type="dxa"/>
            <w:gridSpan w:val="2"/>
          </w:tcPr>
          <w:p w:rsidR="008702B8" w:rsidRPr="00A00401" w:rsidRDefault="008702B8" w:rsidP="001E0AC1">
            <w:pPr>
              <w:tabs>
                <w:tab w:val="left" w:pos="7655"/>
                <w:tab w:val="right" w:pos="8789"/>
              </w:tabs>
              <w:spacing w:before="120" w:after="120"/>
              <w:rPr>
                <w:rStyle w:val="Strong"/>
              </w:rPr>
            </w:pPr>
            <w:r w:rsidRPr="00A00401">
              <w:rPr>
                <w:rStyle w:val="Strong"/>
              </w:rPr>
              <w:t>Appendix 1 – Index of instruments scrutinised by the committee</w:t>
            </w:r>
          </w:p>
        </w:tc>
        <w:tc>
          <w:tcPr>
            <w:tcW w:w="850" w:type="dxa"/>
          </w:tcPr>
          <w:p w:rsidR="008702B8" w:rsidRPr="007532FF" w:rsidRDefault="008702B8" w:rsidP="001E0AC1">
            <w:pPr>
              <w:tabs>
                <w:tab w:val="right" w:pos="601"/>
                <w:tab w:val="right" w:pos="8789"/>
              </w:tabs>
              <w:spacing w:before="120" w:after="120"/>
              <w:ind w:left="317" w:right="-1077" w:hanging="317"/>
              <w:rPr>
                <w:sz w:val="22"/>
                <w:szCs w:val="22"/>
              </w:rPr>
            </w:pPr>
            <w:r w:rsidRPr="007532FF">
              <w:rPr>
                <w:sz w:val="22"/>
                <w:szCs w:val="22"/>
              </w:rPr>
              <w:tab/>
            </w:r>
            <w:r>
              <w:rPr>
                <w:sz w:val="22"/>
                <w:szCs w:val="22"/>
              </w:rPr>
              <w:t>119</w:t>
            </w:r>
          </w:p>
        </w:tc>
      </w:tr>
      <w:tr w:rsidR="008702B8" w:rsidRPr="007532FF" w:rsidTr="001E0AC1">
        <w:tc>
          <w:tcPr>
            <w:tcW w:w="8330" w:type="dxa"/>
            <w:gridSpan w:val="2"/>
          </w:tcPr>
          <w:p w:rsidR="008702B8" w:rsidRPr="00A00401" w:rsidRDefault="008702B8" w:rsidP="001E0AC1">
            <w:pPr>
              <w:tabs>
                <w:tab w:val="left" w:pos="7655"/>
                <w:tab w:val="right" w:pos="8789"/>
              </w:tabs>
              <w:spacing w:before="120" w:after="120"/>
              <w:rPr>
                <w:rStyle w:val="Strong"/>
              </w:rPr>
            </w:pPr>
            <w:r w:rsidRPr="00A00401">
              <w:rPr>
                <w:rStyle w:val="Strong"/>
              </w:rPr>
              <w:t>Appendix 2 – Guideline on explanatory statements: consultation</w:t>
            </w:r>
          </w:p>
        </w:tc>
        <w:tc>
          <w:tcPr>
            <w:tcW w:w="850" w:type="dxa"/>
          </w:tcPr>
          <w:p w:rsidR="008702B8" w:rsidRPr="007532FF" w:rsidRDefault="008702B8" w:rsidP="001E0AC1">
            <w:pPr>
              <w:tabs>
                <w:tab w:val="right" w:pos="601"/>
                <w:tab w:val="right" w:pos="8789"/>
              </w:tabs>
              <w:spacing w:before="120" w:after="120"/>
              <w:ind w:left="317" w:right="-1077" w:hanging="317"/>
              <w:rPr>
                <w:sz w:val="22"/>
                <w:szCs w:val="22"/>
              </w:rPr>
            </w:pPr>
            <w:r w:rsidRPr="007532FF">
              <w:rPr>
                <w:sz w:val="22"/>
                <w:szCs w:val="22"/>
              </w:rPr>
              <w:tab/>
            </w:r>
            <w:r>
              <w:rPr>
                <w:sz w:val="22"/>
                <w:szCs w:val="22"/>
              </w:rPr>
              <w:t>133</w:t>
            </w:r>
          </w:p>
        </w:tc>
      </w:tr>
      <w:tr w:rsidR="008702B8" w:rsidRPr="007532FF" w:rsidTr="001E0AC1">
        <w:tc>
          <w:tcPr>
            <w:tcW w:w="8330" w:type="dxa"/>
            <w:gridSpan w:val="2"/>
          </w:tcPr>
          <w:p w:rsidR="008702B8" w:rsidRPr="007532FF" w:rsidRDefault="008702B8" w:rsidP="001E0AC1">
            <w:pPr>
              <w:tabs>
                <w:tab w:val="left" w:pos="7655"/>
                <w:tab w:val="right" w:pos="8789"/>
              </w:tabs>
              <w:spacing w:before="120" w:after="120"/>
              <w:rPr>
                <w:rStyle w:val="Strong"/>
                <w:sz w:val="22"/>
                <w:szCs w:val="22"/>
              </w:rPr>
            </w:pPr>
          </w:p>
        </w:tc>
        <w:tc>
          <w:tcPr>
            <w:tcW w:w="850" w:type="dxa"/>
          </w:tcPr>
          <w:p w:rsidR="008702B8" w:rsidRPr="007532FF" w:rsidRDefault="008702B8" w:rsidP="001E0AC1">
            <w:pPr>
              <w:tabs>
                <w:tab w:val="right" w:pos="601"/>
                <w:tab w:val="right" w:pos="8789"/>
              </w:tabs>
              <w:spacing w:before="120" w:after="120"/>
              <w:ind w:left="317" w:right="-1077" w:hanging="317"/>
              <w:rPr>
                <w:sz w:val="22"/>
                <w:szCs w:val="22"/>
              </w:rPr>
            </w:pPr>
          </w:p>
        </w:tc>
      </w:tr>
    </w:tbl>
    <w:p w:rsidR="008702B8" w:rsidRPr="007532FF" w:rsidRDefault="008702B8" w:rsidP="008702B8">
      <w:pPr>
        <w:rPr>
          <w:sz w:val="22"/>
          <w:szCs w:val="22"/>
        </w:rPr>
      </w:pPr>
    </w:p>
    <w:p w:rsidR="008702B8" w:rsidRPr="004B17F0" w:rsidRDefault="008702B8" w:rsidP="008702B8">
      <w:pPr>
        <w:pStyle w:val="Heading1"/>
      </w:pPr>
      <w:r>
        <w:br w:type="page"/>
      </w:r>
      <w:r w:rsidRPr="004B17F0">
        <w:lastRenderedPageBreak/>
        <w:t>Delegated legislation monitor</w:t>
      </w:r>
    </w:p>
    <w:p w:rsidR="008702B8" w:rsidRDefault="008702B8" w:rsidP="008702B8">
      <w:pPr>
        <w:pStyle w:val="Heading2"/>
      </w:pPr>
      <w:r w:rsidRPr="00BF47FD">
        <w:t>Introduction</w:t>
      </w:r>
    </w:p>
    <w:p w:rsidR="008702B8" w:rsidRDefault="008702B8" w:rsidP="008702B8">
      <w:pPr>
        <w:pStyle w:val="Level1"/>
        <w:numPr>
          <w:ilvl w:val="0"/>
          <w:numId w:val="0"/>
        </w:numPr>
      </w:pPr>
      <w:r>
        <w:t xml:space="preserve">The </w:t>
      </w:r>
      <w:r>
        <w:rPr>
          <w:i/>
        </w:rPr>
        <w:t>Delegated legislation monitor</w:t>
      </w:r>
      <w:r w:rsidRPr="00575BAE">
        <w:rPr>
          <w:i/>
        </w:rPr>
        <w:t xml:space="preserve"> </w:t>
      </w:r>
      <w:r>
        <w:t>(the monitor) is the regular report of the Senate Standing Committee on Regulations and Ordinances (the committee). The monitor is published at the conclusion of each sitting week of the Parliament, and provides an overview of the committee's scrutiny of instruments of delegated legislation for the preceding period.</w:t>
      </w:r>
      <w:r>
        <w:rPr>
          <w:rStyle w:val="FootnoteReference"/>
        </w:rPr>
        <w:footnoteReference w:id="1"/>
      </w:r>
    </w:p>
    <w:p w:rsidR="008702B8" w:rsidRDefault="008702B8" w:rsidP="008702B8">
      <w:pPr>
        <w:pStyle w:val="Heading3"/>
      </w:pPr>
      <w:r>
        <w:t>The committee's terms of reference</w:t>
      </w:r>
    </w:p>
    <w:p w:rsidR="008702B8" w:rsidRPr="00D233E5" w:rsidRDefault="008702B8" w:rsidP="008702B8">
      <w:pPr>
        <w:pStyle w:val="Level1"/>
        <w:numPr>
          <w:ilvl w:val="0"/>
          <w:numId w:val="0"/>
        </w:numPr>
      </w:pPr>
      <w:r>
        <w:t xml:space="preserve">Senate </w:t>
      </w:r>
      <w:r w:rsidRPr="00D233E5">
        <w:t>Standing Order 23</w:t>
      </w:r>
      <w:r>
        <w:t xml:space="preserve"> contains a general statement of the committee's terms of reference</w:t>
      </w:r>
      <w:r w:rsidRPr="00D233E5">
        <w:t>:</w:t>
      </w:r>
    </w:p>
    <w:p w:rsidR="008702B8" w:rsidRPr="00BF47FD" w:rsidRDefault="008702B8" w:rsidP="008702B8">
      <w:pPr>
        <w:pStyle w:val="Quote"/>
        <w:spacing w:after="120"/>
        <w:ind w:left="1276" w:hanging="425"/>
      </w:pPr>
      <w:r>
        <w:t xml:space="preserve">(1) </w:t>
      </w:r>
      <w:r w:rsidRPr="00BF47FD">
        <w:t>A Standing Committee on Regulations and Ordinances shall be appointed at the commencement of each Parliament.</w:t>
      </w:r>
    </w:p>
    <w:p w:rsidR="008702B8" w:rsidRPr="00BF47FD" w:rsidRDefault="008702B8" w:rsidP="008702B8">
      <w:pPr>
        <w:pStyle w:val="Quote"/>
        <w:spacing w:after="120"/>
        <w:ind w:left="1276" w:hanging="425"/>
      </w:pPr>
      <w:r>
        <w:t xml:space="preserve">(2) </w:t>
      </w:r>
      <w:r w:rsidRPr="00BF47FD">
        <w:t>All regulations, ordinances and other instruments made under the authority of Acts of the Parliament, which are subject to disallowance or disapproval by the Senate and which are of a legislative character, shall stand referred to the committee for consideration and, if necessary, report.</w:t>
      </w:r>
    </w:p>
    <w:p w:rsidR="008702B8" w:rsidRPr="00BF47FD" w:rsidRDefault="008702B8" w:rsidP="008702B8">
      <w:pPr>
        <w:pStyle w:val="Quote"/>
        <w:spacing w:after="120"/>
        <w:ind w:left="1276"/>
      </w:pPr>
      <w:r w:rsidRPr="00BF47FD">
        <w:t>The committee shall scrutinise each instrument to ensure:</w:t>
      </w:r>
    </w:p>
    <w:p w:rsidR="008702B8" w:rsidRPr="00BF47FD" w:rsidRDefault="008702B8" w:rsidP="008702B8">
      <w:pPr>
        <w:pStyle w:val="Quote"/>
        <w:tabs>
          <w:tab w:val="left" w:pos="1701"/>
        </w:tabs>
        <w:spacing w:after="120"/>
        <w:ind w:left="1701" w:hanging="425"/>
      </w:pPr>
      <w:r>
        <w:t>(a)</w:t>
      </w:r>
      <w:r>
        <w:tab/>
      </w:r>
      <w:proofErr w:type="gramStart"/>
      <w:r w:rsidRPr="00BF47FD">
        <w:t>that</w:t>
      </w:r>
      <w:proofErr w:type="gramEnd"/>
      <w:r w:rsidRPr="00BF47FD">
        <w:t xml:space="preserve"> it is in accordance with the statute;</w:t>
      </w:r>
    </w:p>
    <w:p w:rsidR="008702B8" w:rsidRPr="00BF47FD" w:rsidRDefault="008702B8" w:rsidP="008702B8">
      <w:pPr>
        <w:pStyle w:val="Quote"/>
        <w:tabs>
          <w:tab w:val="left" w:pos="1701"/>
        </w:tabs>
        <w:spacing w:after="120"/>
        <w:ind w:left="1701" w:hanging="425"/>
      </w:pPr>
      <w:r>
        <w:t>(b)</w:t>
      </w:r>
      <w:r>
        <w:tab/>
      </w:r>
      <w:proofErr w:type="gramStart"/>
      <w:r w:rsidRPr="00BF47FD">
        <w:t>that</w:t>
      </w:r>
      <w:proofErr w:type="gramEnd"/>
      <w:r w:rsidRPr="00BF47FD">
        <w:t xml:space="preserve"> it does not trespass unduly on personal rights and liberties;</w:t>
      </w:r>
    </w:p>
    <w:p w:rsidR="008702B8" w:rsidRPr="00BF47FD" w:rsidRDefault="008702B8" w:rsidP="008702B8">
      <w:pPr>
        <w:pStyle w:val="Quote"/>
        <w:tabs>
          <w:tab w:val="left" w:pos="1701"/>
        </w:tabs>
        <w:spacing w:after="120"/>
        <w:ind w:left="1701" w:hanging="425"/>
      </w:pPr>
      <w:r>
        <w:t>(c)</w:t>
      </w:r>
      <w:r>
        <w:tab/>
      </w:r>
      <w:r w:rsidRPr="00BF47FD">
        <w:t>that it does not unduly make the rights and liberties of citizens dependent upon administrative decisions which are not subject to review of their merits by a judicial or other independent tribunal; and</w:t>
      </w:r>
    </w:p>
    <w:p w:rsidR="008702B8" w:rsidRDefault="008702B8" w:rsidP="008702B8">
      <w:pPr>
        <w:pStyle w:val="Quote"/>
        <w:tabs>
          <w:tab w:val="left" w:pos="1701"/>
        </w:tabs>
        <w:spacing w:after="120"/>
        <w:ind w:left="1701" w:hanging="425"/>
      </w:pPr>
      <w:r>
        <w:t>(d)</w:t>
      </w:r>
      <w:r>
        <w:tab/>
      </w:r>
      <w:proofErr w:type="gramStart"/>
      <w:r w:rsidRPr="00BF47FD">
        <w:t>that</w:t>
      </w:r>
      <w:proofErr w:type="gramEnd"/>
      <w:r w:rsidRPr="00BF47FD">
        <w:t xml:space="preserve"> it does not contain matter more appropriate for parliamentary enactment.</w:t>
      </w:r>
    </w:p>
    <w:p w:rsidR="008702B8" w:rsidRDefault="008702B8" w:rsidP="008702B8">
      <w:pPr>
        <w:pStyle w:val="Heading3"/>
      </w:pPr>
      <w:r w:rsidRPr="00F063AA">
        <w:t>Work of the committee</w:t>
      </w:r>
    </w:p>
    <w:p w:rsidR="008702B8" w:rsidRPr="00F063AA" w:rsidRDefault="008702B8" w:rsidP="008702B8">
      <w:pPr>
        <w:pStyle w:val="Level1"/>
        <w:numPr>
          <w:ilvl w:val="0"/>
          <w:numId w:val="0"/>
        </w:numPr>
      </w:pPr>
      <w:r>
        <w:t>T</w:t>
      </w:r>
      <w:r w:rsidRPr="00F063AA">
        <w:t>he committee scrutinises all disallowable instruments of delegated legislation, such as regulations and ordinances, to ensure their compliance with non-partisan principles of personal rights and parliamentary propriety.</w:t>
      </w:r>
    </w:p>
    <w:p w:rsidR="008702B8" w:rsidRDefault="008702B8" w:rsidP="008702B8">
      <w:pPr>
        <w:pStyle w:val="Level1"/>
        <w:numPr>
          <w:ilvl w:val="0"/>
          <w:numId w:val="0"/>
        </w:numPr>
      </w:pPr>
      <w:r w:rsidRPr="00F063AA">
        <w:t xml:space="preserve">The committee's </w:t>
      </w:r>
      <w:r>
        <w:t xml:space="preserve">longstanding practice is to interpret its scrutiny principles broadly, but as relating primarily to </w:t>
      </w:r>
      <w:r w:rsidRPr="00F063AA">
        <w:t>technical legislative scrutiny</w:t>
      </w:r>
      <w:r>
        <w:t>.</w:t>
      </w:r>
      <w:r w:rsidRPr="00F063AA">
        <w:t xml:space="preserve"> </w:t>
      </w:r>
      <w:r>
        <w:t xml:space="preserve">The committee therefore </w:t>
      </w:r>
      <w:r w:rsidRPr="00F063AA">
        <w:t xml:space="preserve">does not </w:t>
      </w:r>
      <w:r>
        <w:t xml:space="preserve">generally </w:t>
      </w:r>
      <w:r w:rsidRPr="00F063AA">
        <w:t>examin</w:t>
      </w:r>
      <w:r>
        <w:t>e</w:t>
      </w:r>
      <w:r w:rsidRPr="00F063AA">
        <w:t xml:space="preserve"> or consider the policy merits of delegated legislation.</w:t>
      </w:r>
      <w:r>
        <w:t xml:space="preserve"> </w:t>
      </w:r>
      <w:r w:rsidRPr="00F063AA">
        <w:t xml:space="preserve">In cases where an instrument is considered not to comply with the committee's scrutiny principles, the committee's usual approach is to correspond with the responsible </w:t>
      </w:r>
      <w:r w:rsidRPr="00F063AA">
        <w:lastRenderedPageBreak/>
        <w:t xml:space="preserve">minister </w:t>
      </w:r>
      <w:r>
        <w:t xml:space="preserve">or instrument-maker </w:t>
      </w:r>
      <w:r w:rsidRPr="00F063AA">
        <w:t>seeking further explanation or clarification of the matter at issue, or seeking an undertaking for specific action to address the committee's concern.</w:t>
      </w:r>
    </w:p>
    <w:p w:rsidR="008702B8" w:rsidRDefault="008702B8" w:rsidP="008702B8">
      <w:pPr>
        <w:pStyle w:val="Level1"/>
        <w:numPr>
          <w:ilvl w:val="0"/>
          <w:numId w:val="0"/>
        </w:numPr>
      </w:pPr>
      <w:r>
        <w:t xml:space="preserve">The committee's work is supported by processes for the registration, tabling and disallowance of legislative instruments, which are established by the </w:t>
      </w:r>
      <w:r>
        <w:rPr>
          <w:i/>
        </w:rPr>
        <w:t>Legislative Instruments Act 2003</w:t>
      </w:r>
      <w:r>
        <w:t>.</w:t>
      </w:r>
      <w:r>
        <w:rPr>
          <w:rStyle w:val="FootnoteReference"/>
        </w:rPr>
        <w:footnoteReference w:id="2"/>
      </w:r>
    </w:p>
    <w:p w:rsidR="008702B8" w:rsidRDefault="008702B8" w:rsidP="008702B8">
      <w:pPr>
        <w:pStyle w:val="Heading3"/>
      </w:pPr>
      <w:r>
        <w:t>Structure of the report</w:t>
      </w:r>
    </w:p>
    <w:p w:rsidR="008702B8" w:rsidRDefault="008702B8" w:rsidP="008702B8">
      <w:pPr>
        <w:pStyle w:val="Level1"/>
        <w:numPr>
          <w:ilvl w:val="0"/>
          <w:numId w:val="0"/>
        </w:numPr>
      </w:pPr>
      <w:r>
        <w:t>The report is comprised of the following parts:</w:t>
      </w:r>
    </w:p>
    <w:p w:rsidR="008702B8" w:rsidRDefault="008702B8" w:rsidP="008702B8">
      <w:pPr>
        <w:pStyle w:val="Bullet1"/>
        <w:spacing w:after="120"/>
      </w:pPr>
      <w:r>
        <w:t>Chapter 1, 'New and continuing matters', sets out new and continuing matters about which the committee has agreed to write to the relevant minister or instrument-maker seeking further information or appropriate undertakings;</w:t>
      </w:r>
    </w:p>
    <w:p w:rsidR="008702B8" w:rsidRDefault="008702B8" w:rsidP="008702B8">
      <w:pPr>
        <w:pStyle w:val="Bullet1"/>
        <w:spacing w:after="120"/>
      </w:pPr>
      <w:r>
        <w:t>Chapter 2, 'Concluded matters', sets out any previous matters which have been concluded to the satisfaction of the committee, including by the giving of an undertaking to review, amend or remake a given instrument at a future date; related (non-confidential) correspondence is included at Appendix 3;</w:t>
      </w:r>
    </w:p>
    <w:p w:rsidR="008702B8" w:rsidRDefault="008702B8" w:rsidP="008702B8">
      <w:pPr>
        <w:pStyle w:val="Bullet1"/>
        <w:spacing w:after="120"/>
      </w:pPr>
      <w:r>
        <w:t>Appendix 1 provides an index listing all instruments scrutinised in the period covered by the report;</w:t>
      </w:r>
    </w:p>
    <w:p w:rsidR="008702B8" w:rsidRDefault="008702B8" w:rsidP="008702B8">
      <w:pPr>
        <w:pStyle w:val="Bullet1"/>
        <w:spacing w:after="120"/>
      </w:pPr>
      <w:r>
        <w:t xml:space="preserve">Appendix 2 contains the committee's guideline on addressing the consultation requirements of the </w:t>
      </w:r>
      <w:r>
        <w:rPr>
          <w:i/>
        </w:rPr>
        <w:t>Legislative Instruments Act 2003</w:t>
      </w:r>
      <w:r>
        <w:t>.</w:t>
      </w:r>
    </w:p>
    <w:p w:rsidR="008702B8" w:rsidRDefault="008702B8" w:rsidP="008702B8">
      <w:pPr>
        <w:pStyle w:val="Heading3"/>
      </w:pPr>
      <w:r>
        <w:t>Acknowledgement</w:t>
      </w:r>
    </w:p>
    <w:p w:rsidR="008702B8" w:rsidRDefault="008702B8" w:rsidP="008702B8">
      <w:pPr>
        <w:pStyle w:val="Level1"/>
        <w:numPr>
          <w:ilvl w:val="0"/>
          <w:numId w:val="0"/>
        </w:numPr>
        <w:spacing w:after="120"/>
      </w:pPr>
      <w:r>
        <w:t>The committee wishes to acknowledge the cooperation of the ministers, instrument-makers and departments who assisted the committee with its consideration of the issues raised in this report.</w:t>
      </w:r>
    </w:p>
    <w:p w:rsidR="008702B8" w:rsidRDefault="008702B8" w:rsidP="008702B8">
      <w:pPr>
        <w:pStyle w:val="Bullet1"/>
        <w:numPr>
          <w:ilvl w:val="0"/>
          <w:numId w:val="0"/>
        </w:numPr>
        <w:spacing w:after="120"/>
        <w:ind w:left="851" w:hanging="851"/>
        <w:rPr>
          <w:b/>
        </w:rPr>
      </w:pPr>
    </w:p>
    <w:p w:rsidR="008702B8" w:rsidRDefault="008702B8" w:rsidP="008702B8">
      <w:pPr>
        <w:pStyle w:val="Bullet1"/>
        <w:numPr>
          <w:ilvl w:val="0"/>
          <w:numId w:val="0"/>
        </w:numPr>
        <w:spacing w:after="120"/>
        <w:ind w:left="851" w:hanging="851"/>
        <w:rPr>
          <w:b/>
        </w:rPr>
      </w:pPr>
    </w:p>
    <w:p w:rsidR="008702B8" w:rsidRDefault="008702B8" w:rsidP="008702B8">
      <w:pPr>
        <w:pStyle w:val="Bullet1"/>
        <w:numPr>
          <w:ilvl w:val="0"/>
          <w:numId w:val="0"/>
        </w:numPr>
        <w:spacing w:after="120"/>
        <w:ind w:left="851" w:hanging="851"/>
        <w:rPr>
          <w:b/>
        </w:rPr>
      </w:pPr>
    </w:p>
    <w:p w:rsidR="008702B8" w:rsidRDefault="008702B8" w:rsidP="008702B8">
      <w:pPr>
        <w:pStyle w:val="Bullet1"/>
        <w:numPr>
          <w:ilvl w:val="0"/>
          <w:numId w:val="0"/>
        </w:numPr>
        <w:spacing w:after="120"/>
        <w:ind w:left="851" w:hanging="851"/>
        <w:rPr>
          <w:b/>
        </w:rPr>
      </w:pPr>
    </w:p>
    <w:p w:rsidR="008702B8" w:rsidRDefault="008702B8" w:rsidP="008702B8">
      <w:pPr>
        <w:pStyle w:val="Bullet1"/>
        <w:numPr>
          <w:ilvl w:val="0"/>
          <w:numId w:val="0"/>
        </w:numPr>
        <w:spacing w:after="120"/>
        <w:ind w:left="851" w:hanging="851"/>
        <w:rPr>
          <w:b/>
        </w:rPr>
      </w:pPr>
    </w:p>
    <w:p w:rsidR="008702B8" w:rsidRDefault="008702B8" w:rsidP="008702B8">
      <w:pPr>
        <w:pStyle w:val="Bullet1"/>
        <w:numPr>
          <w:ilvl w:val="0"/>
          <w:numId w:val="0"/>
        </w:numPr>
        <w:spacing w:after="120"/>
        <w:ind w:left="851" w:hanging="851"/>
        <w:rPr>
          <w:b/>
        </w:rPr>
      </w:pPr>
    </w:p>
    <w:p w:rsidR="008702B8" w:rsidRDefault="008702B8" w:rsidP="008702B8">
      <w:pPr>
        <w:pStyle w:val="Bullet1"/>
        <w:numPr>
          <w:ilvl w:val="0"/>
          <w:numId w:val="0"/>
        </w:numPr>
        <w:spacing w:after="0"/>
        <w:ind w:left="851" w:hanging="851"/>
        <w:rPr>
          <w:b/>
        </w:rPr>
      </w:pPr>
    </w:p>
    <w:p w:rsidR="008702B8" w:rsidRPr="00364316" w:rsidRDefault="008702B8" w:rsidP="008702B8">
      <w:pPr>
        <w:pStyle w:val="Bullet1"/>
        <w:numPr>
          <w:ilvl w:val="0"/>
          <w:numId w:val="0"/>
        </w:numPr>
        <w:spacing w:after="0"/>
        <w:ind w:left="851" w:hanging="851"/>
        <w:rPr>
          <w:b/>
        </w:rPr>
      </w:pPr>
      <w:r w:rsidRPr="00364316">
        <w:rPr>
          <w:b/>
        </w:rPr>
        <w:t>Senator Mark Furner</w:t>
      </w:r>
    </w:p>
    <w:p w:rsidR="008702B8" w:rsidRDefault="008702B8" w:rsidP="008702B8">
      <w:pPr>
        <w:pStyle w:val="Bullet1"/>
        <w:numPr>
          <w:ilvl w:val="0"/>
          <w:numId w:val="0"/>
        </w:numPr>
        <w:spacing w:after="0"/>
        <w:ind w:left="851" w:hanging="851"/>
        <w:rPr>
          <w:b/>
        </w:rPr>
        <w:sectPr w:rsidR="008702B8" w:rsidSect="0000066E">
          <w:footerReference w:type="even" r:id="rId8"/>
          <w:footerReference w:type="default" r:id="rId9"/>
          <w:headerReference w:type="first" r:id="rId10"/>
          <w:footerReference w:type="first" r:id="rId11"/>
          <w:pgSz w:w="11906" w:h="16838" w:code="9"/>
          <w:pgMar w:top="1440" w:right="1440" w:bottom="1202" w:left="1440" w:header="1134" w:footer="720" w:gutter="0"/>
          <w:paperSrc w:first="2" w:other="2"/>
          <w:pgNumType w:fmt="lowerRoman" w:start="1"/>
          <w:cols w:space="720"/>
          <w:titlePg/>
          <w:docGrid w:linePitch="354"/>
        </w:sectPr>
      </w:pPr>
      <w:r w:rsidRPr="00364316">
        <w:rPr>
          <w:b/>
        </w:rPr>
        <w:t>Chair</w:t>
      </w:r>
    </w:p>
    <w:p w:rsidR="001E0AC1" w:rsidRDefault="001E0AC1" w:rsidP="001E0AC1">
      <w:pPr>
        <w:pStyle w:val="Heading1"/>
      </w:pPr>
      <w:r>
        <w:lastRenderedPageBreak/>
        <w:t>Chapter 1</w:t>
      </w:r>
    </w:p>
    <w:p w:rsidR="001E0AC1" w:rsidRPr="003370A4" w:rsidRDefault="001E0AC1" w:rsidP="001E0AC1">
      <w:pPr>
        <w:pStyle w:val="Heading2"/>
      </w:pPr>
      <w:r>
        <w:t>New and continuing matters</w:t>
      </w:r>
    </w:p>
    <w:p w:rsidR="001E0AC1" w:rsidRDefault="001E0AC1" w:rsidP="001E0AC1">
      <w:pPr>
        <w:pStyle w:val="Level1"/>
        <w:numPr>
          <w:ilvl w:val="0"/>
          <w:numId w:val="0"/>
        </w:numPr>
      </w:pPr>
      <w:r>
        <w:t xml:space="preserve">This chapter lists new matters identified by the committee at its meeting on </w:t>
      </w:r>
      <w:r w:rsidRPr="00D91296">
        <w:rPr>
          <w:b/>
        </w:rPr>
        <w:t>28</w:t>
      </w:r>
      <w:r w:rsidRPr="003370A4">
        <w:rPr>
          <w:b/>
        </w:rPr>
        <w:t> </w:t>
      </w:r>
      <w:r>
        <w:rPr>
          <w:b/>
        </w:rPr>
        <w:t>February</w:t>
      </w:r>
      <w:r w:rsidRPr="003370A4">
        <w:rPr>
          <w:b/>
        </w:rPr>
        <w:t xml:space="preserve"> 2012</w:t>
      </w:r>
      <w:r>
        <w:t>, and continuing matters in relation to which the committee has received recent correspondence. The committee will write to relevant ministers or instrument makers seeking further information or an appropriate undertaking within the disallowance period.</w:t>
      </w:r>
    </w:p>
    <w:p w:rsidR="001E0AC1" w:rsidRPr="00B54538" w:rsidRDefault="001E0AC1" w:rsidP="001E0AC1">
      <w:pPr>
        <w:pStyle w:val="Heading3"/>
        <w:spacing w:before="240"/>
      </w:pPr>
      <w:r w:rsidRPr="00310C67">
        <w:rPr>
          <w:noProof/>
        </w:rPr>
        <w:t>Carbon Credits (Carbon Farming Initiative) (Destruction of Methane Generated from Dairy Manure in Covered Anaerobic Ponds) Methodology Determination 2012</w:t>
      </w:r>
      <w:r>
        <w:rPr>
          <w:noProof/>
        </w:rPr>
        <w:t xml:space="preserve"> </w:t>
      </w:r>
      <w:r w:rsidRPr="000E6FB5">
        <w:t>[F2012L02571]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1E0AC1" w:rsidRPr="00B54538" w:rsidTr="001E0AC1">
        <w:tc>
          <w:tcPr>
            <w:tcW w:w="2552" w:type="dxa"/>
          </w:tcPr>
          <w:p w:rsidR="001E0AC1" w:rsidRPr="003B6490" w:rsidRDefault="001E0AC1" w:rsidP="001E0AC1">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Purpose</w:t>
            </w:r>
          </w:p>
        </w:tc>
        <w:tc>
          <w:tcPr>
            <w:tcW w:w="6520" w:type="dxa"/>
          </w:tcPr>
          <w:p w:rsidR="001E0AC1" w:rsidRPr="003B6490" w:rsidRDefault="001E0AC1" w:rsidP="001E0AC1">
            <w:pPr>
              <w:pStyle w:val="letterheadbody"/>
              <w:spacing w:line="264" w:lineRule="auto"/>
              <w:ind w:left="0"/>
              <w:rPr>
                <w:rFonts w:ascii="Times New Roman" w:hAnsi="Times New Roman"/>
                <w:sz w:val="24"/>
                <w:szCs w:val="24"/>
              </w:rPr>
            </w:pPr>
            <w:r w:rsidRPr="00310C67">
              <w:rPr>
                <w:rFonts w:ascii="Times New Roman" w:hAnsi="Times New Roman"/>
                <w:noProof/>
                <w:sz w:val="24"/>
                <w:szCs w:val="24"/>
              </w:rPr>
              <w:t xml:space="preserve">Sets out the rules for implementing </w:t>
            </w:r>
            <w:r>
              <w:rPr>
                <w:rFonts w:ascii="Times New Roman" w:hAnsi="Times New Roman"/>
                <w:noProof/>
                <w:sz w:val="24"/>
                <w:szCs w:val="24"/>
              </w:rPr>
              <w:t xml:space="preserve">and monitoring an agricultural emissions avoidance project under the Carbon Farming Initiative (CFI) to </w:t>
            </w:r>
            <w:r w:rsidRPr="00310C67">
              <w:rPr>
                <w:rFonts w:ascii="Times New Roman" w:hAnsi="Times New Roman"/>
                <w:noProof/>
                <w:sz w:val="24"/>
                <w:szCs w:val="24"/>
              </w:rPr>
              <w:t xml:space="preserve">to </w:t>
            </w:r>
            <w:r>
              <w:rPr>
                <w:rFonts w:ascii="Times New Roman" w:hAnsi="Times New Roman"/>
                <w:noProof/>
                <w:sz w:val="24"/>
                <w:szCs w:val="24"/>
              </w:rPr>
              <w:t>capture biogas generated from dairy farms.</w:t>
            </w:r>
          </w:p>
        </w:tc>
      </w:tr>
      <w:tr w:rsidR="001E0AC1" w:rsidRPr="00B54538" w:rsidTr="001E0AC1">
        <w:tc>
          <w:tcPr>
            <w:tcW w:w="2552" w:type="dxa"/>
          </w:tcPr>
          <w:p w:rsidR="001E0AC1" w:rsidRPr="003B6490" w:rsidRDefault="001E0AC1" w:rsidP="001E0AC1">
            <w:pPr>
              <w:pStyle w:val="letterheadbody"/>
              <w:spacing w:line="264" w:lineRule="auto"/>
              <w:ind w:left="0"/>
              <w:rPr>
                <w:rFonts w:ascii="Times New Roman" w:hAnsi="Times New Roman"/>
                <w:sz w:val="24"/>
                <w:szCs w:val="24"/>
              </w:rPr>
            </w:pPr>
            <w:r>
              <w:rPr>
                <w:rFonts w:ascii="Times New Roman" w:hAnsi="Times New Roman"/>
                <w:b/>
                <w:sz w:val="24"/>
                <w:szCs w:val="24"/>
              </w:rPr>
              <w:t>Last day to disallow</w:t>
            </w:r>
            <w:r>
              <w:rPr>
                <w:rStyle w:val="FootnoteReference"/>
                <w:rFonts w:ascii="Times New Roman" w:hAnsi="Times New Roman"/>
                <w:b/>
                <w:sz w:val="24"/>
                <w:szCs w:val="24"/>
              </w:rPr>
              <w:footnoteReference w:id="3"/>
            </w:r>
          </w:p>
        </w:tc>
        <w:tc>
          <w:tcPr>
            <w:tcW w:w="6520" w:type="dxa"/>
          </w:tcPr>
          <w:p w:rsidR="001E0AC1" w:rsidRPr="003B6490" w:rsidRDefault="001E0AC1" w:rsidP="001E0AC1">
            <w:pPr>
              <w:pStyle w:val="letterheadbody"/>
              <w:spacing w:line="264" w:lineRule="auto"/>
              <w:ind w:left="0"/>
              <w:rPr>
                <w:rFonts w:ascii="Times New Roman" w:hAnsi="Times New Roman"/>
                <w:sz w:val="24"/>
                <w:szCs w:val="24"/>
              </w:rPr>
            </w:pPr>
            <w:r>
              <w:rPr>
                <w:rFonts w:ascii="Times New Roman" w:hAnsi="Times New Roman"/>
                <w:sz w:val="24"/>
                <w:szCs w:val="24"/>
              </w:rPr>
              <w:t>15 May 2013</w:t>
            </w:r>
          </w:p>
        </w:tc>
      </w:tr>
      <w:tr w:rsidR="001E0AC1" w:rsidRPr="00B54538" w:rsidTr="001E0AC1">
        <w:tc>
          <w:tcPr>
            <w:tcW w:w="2552" w:type="dxa"/>
          </w:tcPr>
          <w:p w:rsidR="001E0AC1" w:rsidRPr="003B6490" w:rsidRDefault="001E0AC1" w:rsidP="001E0AC1">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Authorising legislation</w:t>
            </w:r>
          </w:p>
        </w:tc>
        <w:tc>
          <w:tcPr>
            <w:tcW w:w="6520" w:type="dxa"/>
          </w:tcPr>
          <w:p w:rsidR="001E0AC1" w:rsidRPr="00BF65FE" w:rsidRDefault="001E0AC1" w:rsidP="001E0AC1">
            <w:pPr>
              <w:pStyle w:val="letterheadbody"/>
              <w:spacing w:line="264" w:lineRule="auto"/>
              <w:ind w:left="0"/>
              <w:rPr>
                <w:rFonts w:ascii="Times New Roman" w:hAnsi="Times New Roman"/>
                <w:i/>
                <w:sz w:val="24"/>
                <w:szCs w:val="24"/>
              </w:rPr>
            </w:pPr>
            <w:r w:rsidRPr="00BF65FE">
              <w:rPr>
                <w:rFonts w:ascii="Times New Roman" w:hAnsi="Times New Roman"/>
                <w:i/>
                <w:noProof/>
                <w:sz w:val="24"/>
                <w:szCs w:val="24"/>
              </w:rPr>
              <w:t>Carbon Credits (Carbon Farming Initiative) Act 2011</w:t>
            </w:r>
          </w:p>
        </w:tc>
      </w:tr>
      <w:tr w:rsidR="001E0AC1" w:rsidRPr="00B54538" w:rsidTr="001E0AC1">
        <w:tc>
          <w:tcPr>
            <w:tcW w:w="2552" w:type="dxa"/>
          </w:tcPr>
          <w:p w:rsidR="001E0AC1" w:rsidRPr="003B6490" w:rsidRDefault="001E0AC1" w:rsidP="001E0AC1">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Department</w:t>
            </w:r>
          </w:p>
        </w:tc>
        <w:tc>
          <w:tcPr>
            <w:tcW w:w="6520" w:type="dxa"/>
          </w:tcPr>
          <w:p w:rsidR="001E0AC1" w:rsidRPr="003B6490" w:rsidRDefault="001E0AC1" w:rsidP="001E0AC1">
            <w:pPr>
              <w:pStyle w:val="letterheadbody"/>
              <w:spacing w:line="264" w:lineRule="auto"/>
              <w:ind w:left="0"/>
              <w:rPr>
                <w:rFonts w:ascii="Times New Roman" w:hAnsi="Times New Roman"/>
                <w:sz w:val="24"/>
                <w:szCs w:val="24"/>
              </w:rPr>
            </w:pPr>
            <w:r w:rsidRPr="00310C67">
              <w:rPr>
                <w:rFonts w:ascii="Times New Roman" w:hAnsi="Times New Roman"/>
                <w:noProof/>
                <w:sz w:val="24"/>
                <w:szCs w:val="24"/>
              </w:rPr>
              <w:t>Climate Change and Energy Efficiency</w:t>
            </w:r>
          </w:p>
        </w:tc>
      </w:tr>
    </w:tbl>
    <w:p w:rsidR="001E0AC1" w:rsidRDefault="001E0AC1" w:rsidP="001E0AC1">
      <w:pPr>
        <w:spacing w:after="0"/>
        <w:rPr>
          <w:szCs w:val="26"/>
        </w:rPr>
      </w:pPr>
    </w:p>
    <w:p w:rsidR="001E0AC1" w:rsidRDefault="001E0AC1" w:rsidP="001E0AC1">
      <w:pPr>
        <w:spacing w:after="0"/>
        <w:rPr>
          <w:b/>
          <w:szCs w:val="26"/>
        </w:rPr>
      </w:pPr>
      <w:r>
        <w:rPr>
          <w:b/>
          <w:szCs w:val="26"/>
        </w:rPr>
        <w:t>ISSUE:</w:t>
      </w:r>
    </w:p>
    <w:p w:rsidR="001E0AC1" w:rsidRPr="00B54538" w:rsidRDefault="001E0AC1" w:rsidP="001E0AC1">
      <w:pPr>
        <w:pStyle w:val="Heading4"/>
        <w:numPr>
          <w:ilvl w:val="3"/>
          <w:numId w:val="21"/>
        </w:numPr>
        <w:spacing w:before="120" w:after="120"/>
        <w:rPr>
          <w:noProof/>
        </w:rPr>
      </w:pPr>
      <w:r w:rsidRPr="00310C67">
        <w:rPr>
          <w:noProof/>
        </w:rPr>
        <w:t xml:space="preserve">Insufficient explanation provided </w:t>
      </w:r>
      <w:r>
        <w:rPr>
          <w:noProof/>
        </w:rPr>
        <w:t>regarding</w:t>
      </w:r>
      <w:r w:rsidRPr="00310C67">
        <w:rPr>
          <w:noProof/>
        </w:rPr>
        <w:t xml:space="preserve"> consultation</w:t>
      </w:r>
    </w:p>
    <w:p w:rsidR="001E0AC1" w:rsidRPr="00310C67" w:rsidRDefault="001E0AC1" w:rsidP="001E0AC1">
      <w:pPr>
        <w:rPr>
          <w:noProof/>
          <w:szCs w:val="26"/>
        </w:rPr>
      </w:pPr>
      <w:r>
        <w:rPr>
          <w:noProof/>
          <w:szCs w:val="26"/>
        </w:rPr>
        <w:t>Regarding consulation, t</w:t>
      </w:r>
      <w:r w:rsidRPr="00310C67">
        <w:rPr>
          <w:noProof/>
          <w:szCs w:val="26"/>
        </w:rPr>
        <w:t xml:space="preserve">he explanatory statement </w:t>
      </w:r>
      <w:r>
        <w:rPr>
          <w:noProof/>
          <w:szCs w:val="26"/>
        </w:rPr>
        <w:t xml:space="preserve">(ES) </w:t>
      </w:r>
      <w:r w:rsidRPr="00310C67">
        <w:rPr>
          <w:noProof/>
          <w:szCs w:val="26"/>
        </w:rPr>
        <w:t>for this instrument</w:t>
      </w:r>
      <w:r>
        <w:rPr>
          <w:noProof/>
          <w:szCs w:val="26"/>
        </w:rPr>
        <w:t xml:space="preserve"> states</w:t>
      </w:r>
      <w:r w:rsidRPr="00310C67">
        <w:rPr>
          <w:noProof/>
          <w:szCs w:val="26"/>
        </w:rPr>
        <w:t>:</w:t>
      </w:r>
      <w:r>
        <w:rPr>
          <w:rStyle w:val="FootnoteReference"/>
          <w:noProof/>
          <w:szCs w:val="26"/>
        </w:rPr>
        <w:footnoteReference w:id="4"/>
      </w:r>
    </w:p>
    <w:p w:rsidR="001E0AC1" w:rsidRPr="00310C67" w:rsidRDefault="001E0AC1" w:rsidP="001E0AC1">
      <w:pPr>
        <w:pStyle w:val="Quote"/>
        <w:rPr>
          <w:noProof/>
        </w:rPr>
      </w:pPr>
      <w:r w:rsidRPr="00310C67">
        <w:rPr>
          <w:noProof/>
        </w:rPr>
        <w:t>The methodology proposal was developed by the Department of Climate Change and Energy Efficiency (the Department) in collaboration with a technical working group made up of representatives from the dairy industry, the Australian Government and State and Territory governments.</w:t>
      </w:r>
    </w:p>
    <w:p w:rsidR="001E0AC1" w:rsidRPr="00310C67" w:rsidRDefault="001E0AC1" w:rsidP="001E0AC1">
      <w:pPr>
        <w:pStyle w:val="Quote"/>
        <w:rPr>
          <w:noProof/>
        </w:rPr>
      </w:pPr>
      <w:r w:rsidRPr="00310C67">
        <w:rPr>
          <w:noProof/>
        </w:rPr>
        <w:t>The methodology proposal was published on the Department</w:t>
      </w:r>
      <w:r>
        <w:rPr>
          <w:noProof/>
        </w:rPr>
        <w:t>'</w:t>
      </w:r>
      <w:r w:rsidRPr="00310C67">
        <w:rPr>
          <w:noProof/>
        </w:rPr>
        <w:t xml:space="preserve">s website for public consultation from 13 June 2012 to 21 July 2012. Stakeholders and members of the public who asked to be listed on the mailing list maintained by the Department were notified of </w:t>
      </w:r>
      <w:r>
        <w:rPr>
          <w:noProof/>
        </w:rPr>
        <w:t>the public consultation period.</w:t>
      </w:r>
    </w:p>
    <w:p w:rsidR="001E0AC1" w:rsidRDefault="001E0AC1" w:rsidP="001E0AC1">
      <w:pPr>
        <w:rPr>
          <w:noProof/>
          <w:szCs w:val="26"/>
        </w:rPr>
      </w:pPr>
      <w:r w:rsidRPr="00310C67">
        <w:rPr>
          <w:noProof/>
          <w:szCs w:val="26"/>
        </w:rPr>
        <w:t xml:space="preserve">Unlike the explanatory statement for </w:t>
      </w:r>
      <w:r>
        <w:rPr>
          <w:noProof/>
          <w:szCs w:val="26"/>
        </w:rPr>
        <w:t xml:space="preserve">a similar instrument, </w:t>
      </w:r>
      <w:r w:rsidRPr="00310C67">
        <w:rPr>
          <w:noProof/>
          <w:szCs w:val="26"/>
        </w:rPr>
        <w:t xml:space="preserve">the Carbon Credits (Carbon Farming Initiative) (Capture and Combustion of Methane in Landfill Gas for Legacy Waste: Upgrade projects) Methodology Determination 2012 [F2012L02583], no information is provided </w:t>
      </w:r>
      <w:r>
        <w:rPr>
          <w:noProof/>
          <w:szCs w:val="26"/>
        </w:rPr>
        <w:t xml:space="preserve">as </w:t>
      </w:r>
      <w:r w:rsidRPr="00310C67">
        <w:rPr>
          <w:noProof/>
          <w:szCs w:val="26"/>
        </w:rPr>
        <w:t xml:space="preserve">to </w:t>
      </w:r>
      <w:r>
        <w:rPr>
          <w:noProof/>
          <w:szCs w:val="26"/>
        </w:rPr>
        <w:t xml:space="preserve">the outcome </w:t>
      </w:r>
      <w:r w:rsidRPr="00310C67">
        <w:rPr>
          <w:noProof/>
          <w:szCs w:val="26"/>
        </w:rPr>
        <w:t>of the consultation</w:t>
      </w:r>
      <w:r>
        <w:rPr>
          <w:noProof/>
          <w:szCs w:val="26"/>
        </w:rPr>
        <w:t xml:space="preserve">, such as the number, if </w:t>
      </w:r>
      <w:r>
        <w:rPr>
          <w:noProof/>
          <w:szCs w:val="26"/>
        </w:rPr>
        <w:lastRenderedPageBreak/>
        <w:t xml:space="preserve">any, of submissions received and the extent to which any comments may have been or were required to be taken into account. </w:t>
      </w:r>
      <w:r w:rsidRPr="00D91296">
        <w:rPr>
          <w:b/>
          <w:noProof/>
          <w:szCs w:val="26"/>
        </w:rPr>
        <w:t xml:space="preserve">The committee will therefore seek further information from the </w:t>
      </w:r>
      <w:r>
        <w:rPr>
          <w:b/>
          <w:noProof/>
          <w:szCs w:val="26"/>
        </w:rPr>
        <w:t>parliamentary secretary</w:t>
      </w:r>
      <w:r w:rsidRPr="00310C67">
        <w:rPr>
          <w:noProof/>
          <w:szCs w:val="26"/>
        </w:rPr>
        <w:t>.</w:t>
      </w:r>
    </w:p>
    <w:p w:rsidR="001E0AC1" w:rsidRPr="00B54538" w:rsidRDefault="001E0AC1" w:rsidP="001E0AC1">
      <w:pPr>
        <w:pStyle w:val="Heading3"/>
        <w:spacing w:before="600"/>
      </w:pPr>
      <w:r>
        <w:rPr>
          <w:noProof/>
        </w:rPr>
        <w:t>CASA EX</w:t>
      </w:r>
      <w:r w:rsidRPr="00310C67">
        <w:rPr>
          <w:noProof/>
        </w:rPr>
        <w:t>190/12 – Exemption – from standard take-off and landing minima – Airasia X SDN. BHD</w:t>
      </w:r>
      <w:r>
        <w:rPr>
          <w:noProof/>
        </w:rPr>
        <w:t xml:space="preserve"> [F2013L00033]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1E0AC1" w:rsidRPr="00B54538" w:rsidTr="001E0AC1">
        <w:tc>
          <w:tcPr>
            <w:tcW w:w="2552" w:type="dxa"/>
          </w:tcPr>
          <w:p w:rsidR="001E0AC1" w:rsidRPr="003B6490" w:rsidRDefault="001E0AC1" w:rsidP="001E0AC1">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Purpose</w:t>
            </w:r>
          </w:p>
        </w:tc>
        <w:tc>
          <w:tcPr>
            <w:tcW w:w="6520" w:type="dxa"/>
          </w:tcPr>
          <w:p w:rsidR="001E0AC1" w:rsidRPr="003B6490" w:rsidRDefault="001E0AC1" w:rsidP="001E0AC1">
            <w:pPr>
              <w:pStyle w:val="letterheadbody"/>
              <w:spacing w:line="264" w:lineRule="auto"/>
              <w:ind w:left="0"/>
              <w:rPr>
                <w:rFonts w:ascii="Times New Roman" w:hAnsi="Times New Roman"/>
                <w:sz w:val="24"/>
                <w:szCs w:val="24"/>
              </w:rPr>
            </w:pPr>
            <w:r w:rsidRPr="00310C67">
              <w:rPr>
                <w:rFonts w:ascii="Times New Roman" w:hAnsi="Times New Roman"/>
                <w:noProof/>
                <w:sz w:val="24"/>
                <w:szCs w:val="24"/>
              </w:rPr>
              <w:t>Permits the operator to use reduced visibility minima when its air</w:t>
            </w:r>
            <w:r>
              <w:rPr>
                <w:rFonts w:ascii="Times New Roman" w:hAnsi="Times New Roman"/>
                <w:noProof/>
                <w:sz w:val="24"/>
                <w:szCs w:val="24"/>
              </w:rPr>
              <w:t>craft are landing or taking off</w:t>
            </w:r>
          </w:p>
        </w:tc>
      </w:tr>
      <w:tr w:rsidR="001E0AC1" w:rsidRPr="00B54538" w:rsidTr="001E0AC1">
        <w:tc>
          <w:tcPr>
            <w:tcW w:w="2552" w:type="dxa"/>
          </w:tcPr>
          <w:p w:rsidR="001E0AC1" w:rsidRPr="003B6490" w:rsidRDefault="001E0AC1" w:rsidP="001E0AC1">
            <w:pPr>
              <w:pStyle w:val="letterheadbody"/>
              <w:spacing w:line="264" w:lineRule="auto"/>
              <w:ind w:left="0"/>
              <w:rPr>
                <w:rFonts w:ascii="Times New Roman" w:hAnsi="Times New Roman"/>
                <w:sz w:val="24"/>
                <w:szCs w:val="24"/>
              </w:rPr>
            </w:pPr>
            <w:r>
              <w:rPr>
                <w:rFonts w:ascii="Times New Roman" w:hAnsi="Times New Roman"/>
                <w:b/>
                <w:sz w:val="24"/>
                <w:szCs w:val="24"/>
              </w:rPr>
              <w:t>Last day to disallow</w:t>
            </w:r>
          </w:p>
        </w:tc>
        <w:tc>
          <w:tcPr>
            <w:tcW w:w="6520" w:type="dxa"/>
          </w:tcPr>
          <w:p w:rsidR="001E0AC1" w:rsidRPr="003B6490" w:rsidRDefault="001E0AC1" w:rsidP="001E0AC1">
            <w:pPr>
              <w:pStyle w:val="letterheadbody"/>
              <w:spacing w:line="264" w:lineRule="auto"/>
              <w:ind w:left="0"/>
              <w:rPr>
                <w:rFonts w:ascii="Times New Roman" w:hAnsi="Times New Roman"/>
                <w:sz w:val="24"/>
                <w:szCs w:val="24"/>
              </w:rPr>
            </w:pPr>
            <w:r>
              <w:rPr>
                <w:rFonts w:ascii="Times New Roman" w:hAnsi="Times New Roman"/>
                <w:sz w:val="24"/>
                <w:szCs w:val="24"/>
              </w:rPr>
              <w:t>15 May 2013</w:t>
            </w:r>
          </w:p>
        </w:tc>
      </w:tr>
      <w:tr w:rsidR="001E0AC1" w:rsidRPr="00B54538" w:rsidTr="001E0AC1">
        <w:tc>
          <w:tcPr>
            <w:tcW w:w="2552" w:type="dxa"/>
          </w:tcPr>
          <w:p w:rsidR="001E0AC1" w:rsidRPr="003B6490" w:rsidRDefault="001E0AC1" w:rsidP="001E0AC1">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Authorising legislation</w:t>
            </w:r>
          </w:p>
        </w:tc>
        <w:tc>
          <w:tcPr>
            <w:tcW w:w="6520" w:type="dxa"/>
          </w:tcPr>
          <w:p w:rsidR="001E0AC1" w:rsidRPr="003B6490" w:rsidRDefault="001E0AC1" w:rsidP="001E0AC1">
            <w:pPr>
              <w:pStyle w:val="letterheadbody"/>
              <w:spacing w:line="264" w:lineRule="auto"/>
              <w:ind w:left="0"/>
              <w:rPr>
                <w:rFonts w:ascii="Times New Roman" w:hAnsi="Times New Roman"/>
                <w:sz w:val="24"/>
                <w:szCs w:val="24"/>
              </w:rPr>
            </w:pPr>
            <w:r w:rsidRPr="00310C67">
              <w:rPr>
                <w:rFonts w:ascii="Times New Roman" w:hAnsi="Times New Roman"/>
                <w:noProof/>
                <w:sz w:val="24"/>
                <w:szCs w:val="24"/>
              </w:rPr>
              <w:t>Civil Aviation Safety Regulations 1998</w:t>
            </w:r>
          </w:p>
        </w:tc>
      </w:tr>
      <w:tr w:rsidR="001E0AC1" w:rsidRPr="00B54538" w:rsidTr="001E0AC1">
        <w:tc>
          <w:tcPr>
            <w:tcW w:w="2552" w:type="dxa"/>
          </w:tcPr>
          <w:p w:rsidR="001E0AC1" w:rsidRPr="003B6490" w:rsidRDefault="001E0AC1" w:rsidP="001E0AC1">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Department</w:t>
            </w:r>
          </w:p>
        </w:tc>
        <w:tc>
          <w:tcPr>
            <w:tcW w:w="6520" w:type="dxa"/>
          </w:tcPr>
          <w:p w:rsidR="001E0AC1" w:rsidRPr="003B6490" w:rsidRDefault="001E0AC1" w:rsidP="001E0AC1">
            <w:pPr>
              <w:pStyle w:val="letterheadbody"/>
              <w:spacing w:line="264" w:lineRule="auto"/>
              <w:ind w:left="0"/>
              <w:rPr>
                <w:rFonts w:ascii="Times New Roman" w:hAnsi="Times New Roman"/>
                <w:sz w:val="24"/>
                <w:szCs w:val="24"/>
              </w:rPr>
            </w:pPr>
            <w:r w:rsidRPr="00310C67">
              <w:rPr>
                <w:rFonts w:ascii="Times New Roman" w:hAnsi="Times New Roman"/>
                <w:noProof/>
                <w:sz w:val="24"/>
                <w:szCs w:val="24"/>
              </w:rPr>
              <w:t>Infrastructure and Transport</w:t>
            </w:r>
          </w:p>
        </w:tc>
      </w:tr>
    </w:tbl>
    <w:p w:rsidR="001E0AC1" w:rsidRPr="00B54538" w:rsidRDefault="001E0AC1" w:rsidP="001E0AC1">
      <w:pPr>
        <w:spacing w:after="0"/>
        <w:rPr>
          <w:szCs w:val="26"/>
        </w:rPr>
      </w:pPr>
    </w:p>
    <w:p w:rsidR="001E0AC1" w:rsidRDefault="001E0AC1" w:rsidP="001E0AC1">
      <w:pPr>
        <w:spacing w:after="0"/>
        <w:rPr>
          <w:b/>
          <w:szCs w:val="26"/>
        </w:rPr>
      </w:pPr>
      <w:r>
        <w:rPr>
          <w:b/>
          <w:szCs w:val="26"/>
        </w:rPr>
        <w:t>ISSUE:</w:t>
      </w:r>
    </w:p>
    <w:p w:rsidR="001E0AC1" w:rsidRPr="00B54538" w:rsidRDefault="001E0AC1" w:rsidP="001E0AC1">
      <w:pPr>
        <w:pStyle w:val="Heading4"/>
        <w:numPr>
          <w:ilvl w:val="3"/>
          <w:numId w:val="21"/>
        </w:numPr>
        <w:spacing w:before="120" w:after="120"/>
        <w:rPr>
          <w:noProof/>
        </w:rPr>
      </w:pPr>
      <w:r w:rsidRPr="00310C67">
        <w:rPr>
          <w:noProof/>
        </w:rPr>
        <w:t xml:space="preserve">Insufficient explanation provided </w:t>
      </w:r>
      <w:r>
        <w:rPr>
          <w:noProof/>
        </w:rPr>
        <w:t>regarding</w:t>
      </w:r>
      <w:r w:rsidRPr="00310C67">
        <w:rPr>
          <w:noProof/>
        </w:rPr>
        <w:t xml:space="preserve"> consultation</w:t>
      </w:r>
    </w:p>
    <w:p w:rsidR="001E0AC1" w:rsidRPr="00310C67" w:rsidRDefault="001E0AC1" w:rsidP="001E0AC1">
      <w:pPr>
        <w:pStyle w:val="Level1"/>
        <w:numPr>
          <w:ilvl w:val="0"/>
          <w:numId w:val="0"/>
        </w:numPr>
        <w:rPr>
          <w:noProof/>
        </w:rPr>
      </w:pPr>
      <w:r w:rsidRPr="00AE3138">
        <w:rPr>
          <w:noProof/>
          <w:szCs w:val="26"/>
        </w:rPr>
        <w:t xml:space="preserve">Section 17 of the </w:t>
      </w:r>
      <w:r w:rsidRPr="00AE3138">
        <w:rPr>
          <w:i/>
          <w:noProof/>
          <w:szCs w:val="26"/>
        </w:rPr>
        <w:t>Legislative Instruments Act 2003</w:t>
      </w:r>
      <w:r>
        <w:rPr>
          <w:i/>
          <w:noProof/>
          <w:szCs w:val="26"/>
        </w:rPr>
        <w:t xml:space="preserve"> </w:t>
      </w:r>
      <w:r w:rsidRPr="00AE3138">
        <w:rPr>
          <w:noProof/>
          <w:szCs w:val="26"/>
        </w:rPr>
        <w:t>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ES which must accompany an instrument is required to describe the nature of any consultation that has been carried out or, if there has been no consultation, to explain w</w:t>
      </w:r>
      <w:r>
        <w:rPr>
          <w:noProof/>
          <w:szCs w:val="26"/>
        </w:rPr>
        <w:t>hy none was undertaken (section </w:t>
      </w:r>
      <w:r w:rsidRPr="00AE3138">
        <w:rPr>
          <w:noProof/>
          <w:szCs w:val="26"/>
        </w:rPr>
        <w:t>26).</w:t>
      </w:r>
      <w:r>
        <w:rPr>
          <w:noProof/>
          <w:szCs w:val="26"/>
        </w:rPr>
        <w:t xml:space="preserve"> </w:t>
      </w:r>
      <w:r w:rsidRPr="00AE3138">
        <w:rPr>
          <w:noProof/>
          <w:szCs w:val="26"/>
        </w:rPr>
        <w:t xml:space="preserve">With reference to these requirements, the committee notes that the ES </w:t>
      </w:r>
      <w:r>
        <w:rPr>
          <w:noProof/>
          <w:szCs w:val="26"/>
        </w:rPr>
        <w:t xml:space="preserve">for </w:t>
      </w:r>
      <w:r w:rsidRPr="00AE3138">
        <w:rPr>
          <w:noProof/>
          <w:szCs w:val="26"/>
        </w:rPr>
        <w:t xml:space="preserve">the </w:t>
      </w:r>
      <w:r>
        <w:rPr>
          <w:noProof/>
          <w:szCs w:val="26"/>
        </w:rPr>
        <w:t>instrument</w:t>
      </w:r>
      <w:r>
        <w:rPr>
          <w:noProof/>
        </w:rPr>
        <w:t xml:space="preserve"> states</w:t>
      </w:r>
      <w:r w:rsidRPr="00310C67">
        <w:rPr>
          <w:noProof/>
        </w:rPr>
        <w:t>:</w:t>
      </w:r>
    </w:p>
    <w:p w:rsidR="001E0AC1" w:rsidRPr="00310C67" w:rsidRDefault="001E0AC1" w:rsidP="001E0AC1">
      <w:pPr>
        <w:pStyle w:val="Quote"/>
        <w:spacing w:after="120"/>
        <w:rPr>
          <w:noProof/>
        </w:rPr>
      </w:pPr>
      <w:r w:rsidRPr="00310C67">
        <w:rPr>
          <w:noProof/>
        </w:rPr>
        <w:t xml:space="preserve">Consultation under section 17 of the LIA has not been undertaken in this case. The instrument is in the same terms as many instruments issued to foreign </w:t>
      </w:r>
      <w:r>
        <w:rPr>
          <w:noProof/>
        </w:rPr>
        <w:t>operators for the same purpose.</w:t>
      </w:r>
    </w:p>
    <w:p w:rsidR="001E0AC1" w:rsidRDefault="001E0AC1" w:rsidP="001E0AC1">
      <w:pPr>
        <w:rPr>
          <w:noProof/>
          <w:szCs w:val="26"/>
        </w:rPr>
      </w:pPr>
      <w:r w:rsidRPr="007F49E1">
        <w:rPr>
          <w:noProof/>
          <w:szCs w:val="26"/>
        </w:rPr>
        <w:t>It</w:t>
      </w:r>
      <w:r>
        <w:rPr>
          <w:noProof/>
          <w:szCs w:val="26"/>
        </w:rPr>
        <w:t xml:space="preserve"> is not clear to the committee how, of itself, the stated reason for not consulting in relation to the making of the instrument necessarily relates to a conclusion by the instrument maker that consultation was 'unecessary' or 'inappropriate' (as provided for by section 18).</w:t>
      </w:r>
      <w:r w:rsidRPr="00134E6B">
        <w:rPr>
          <w:b/>
          <w:noProof/>
          <w:szCs w:val="26"/>
        </w:rPr>
        <w:t xml:space="preserve"> The committee </w:t>
      </w:r>
      <w:r>
        <w:rPr>
          <w:b/>
          <w:noProof/>
          <w:szCs w:val="26"/>
        </w:rPr>
        <w:t xml:space="preserve">will therefore </w:t>
      </w:r>
      <w:r w:rsidRPr="00134E6B">
        <w:rPr>
          <w:b/>
          <w:noProof/>
          <w:szCs w:val="26"/>
        </w:rPr>
        <w:t>seek further information from the minister</w:t>
      </w:r>
      <w:r>
        <w:rPr>
          <w:b/>
          <w:noProof/>
          <w:szCs w:val="26"/>
        </w:rPr>
        <w:t xml:space="preserve"> </w:t>
      </w:r>
      <w:r w:rsidRPr="00940F8E">
        <w:rPr>
          <w:b/>
          <w:noProof/>
        </w:rPr>
        <w:t xml:space="preserve">and request that the ES be updated in accordance with the requirements of the </w:t>
      </w:r>
      <w:r w:rsidRPr="00E2599D">
        <w:rPr>
          <w:b/>
          <w:i/>
          <w:noProof/>
        </w:rPr>
        <w:t>Legislative Instruments Act 2003</w:t>
      </w:r>
      <w:r w:rsidRPr="00310C67">
        <w:rPr>
          <w:noProof/>
          <w:szCs w:val="26"/>
        </w:rPr>
        <w:t>.</w:t>
      </w:r>
    </w:p>
    <w:p w:rsidR="001E0AC1" w:rsidRDefault="001E0AC1" w:rsidP="009F02ED">
      <w:pPr>
        <w:spacing w:after="0"/>
        <w:jc w:val="left"/>
        <w:rPr>
          <w:b/>
          <w:noProof/>
          <w:sz w:val="28"/>
        </w:rPr>
      </w:pPr>
      <w:r>
        <w:rPr>
          <w:noProof/>
        </w:rPr>
        <w:br w:type="page"/>
      </w:r>
    </w:p>
    <w:p w:rsidR="001E0AC1" w:rsidRPr="00B54538" w:rsidRDefault="001E0AC1" w:rsidP="009F02ED">
      <w:pPr>
        <w:pStyle w:val="Heading3"/>
      </w:pPr>
      <w:r w:rsidRPr="00310C67">
        <w:rPr>
          <w:noProof/>
        </w:rPr>
        <w:lastRenderedPageBreak/>
        <w:t>CASA EX191/12 - Exemption - solo flight training using ultralight aeroplanes registered with Recreational Aviation Australia Incorporated at Jandakot Aerodrome</w:t>
      </w:r>
      <w:r>
        <w:rPr>
          <w:noProof/>
        </w:rPr>
        <w:t xml:space="preserve"> </w:t>
      </w:r>
      <w:r w:rsidRPr="000E6FB5">
        <w:t>[F2012L02521]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1E0AC1" w:rsidRPr="00B54538" w:rsidTr="001E0AC1">
        <w:tc>
          <w:tcPr>
            <w:tcW w:w="2552" w:type="dxa"/>
          </w:tcPr>
          <w:p w:rsidR="001E0AC1" w:rsidRPr="003B6490" w:rsidRDefault="001E0AC1" w:rsidP="001E0AC1">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Purpose</w:t>
            </w:r>
          </w:p>
        </w:tc>
        <w:tc>
          <w:tcPr>
            <w:tcW w:w="6520" w:type="dxa"/>
          </w:tcPr>
          <w:p w:rsidR="001E0AC1" w:rsidRPr="003B6490" w:rsidRDefault="001E0AC1" w:rsidP="001E0AC1">
            <w:pPr>
              <w:pStyle w:val="letterheadbody"/>
              <w:spacing w:line="264" w:lineRule="auto"/>
              <w:ind w:left="0"/>
              <w:rPr>
                <w:rFonts w:ascii="Times New Roman" w:hAnsi="Times New Roman"/>
                <w:sz w:val="24"/>
                <w:szCs w:val="24"/>
              </w:rPr>
            </w:pPr>
            <w:r w:rsidRPr="00310C67">
              <w:rPr>
                <w:rFonts w:ascii="Times New Roman" w:hAnsi="Times New Roman"/>
                <w:noProof/>
                <w:sz w:val="24"/>
                <w:szCs w:val="24"/>
              </w:rPr>
              <w:t xml:space="preserve">Allows Cloud Dancer Pilot Training Pty Ltd to conduct solo flight training for student pilots using ultralight aeroplanes registered with Recreational </w:t>
            </w:r>
            <w:r>
              <w:rPr>
                <w:rFonts w:ascii="Times New Roman" w:hAnsi="Times New Roman"/>
                <w:noProof/>
                <w:sz w:val="24"/>
                <w:szCs w:val="24"/>
              </w:rPr>
              <w:t>Aviation Australia Incorporated</w:t>
            </w:r>
          </w:p>
        </w:tc>
      </w:tr>
      <w:tr w:rsidR="001E0AC1" w:rsidRPr="00B54538" w:rsidTr="001E0AC1">
        <w:tc>
          <w:tcPr>
            <w:tcW w:w="2552" w:type="dxa"/>
          </w:tcPr>
          <w:p w:rsidR="001E0AC1" w:rsidRPr="003B6490" w:rsidRDefault="001E0AC1" w:rsidP="001E0AC1">
            <w:pPr>
              <w:pStyle w:val="letterheadbody"/>
              <w:spacing w:line="264" w:lineRule="auto"/>
              <w:ind w:left="0"/>
              <w:rPr>
                <w:rFonts w:ascii="Times New Roman" w:hAnsi="Times New Roman"/>
                <w:sz w:val="24"/>
                <w:szCs w:val="24"/>
              </w:rPr>
            </w:pPr>
            <w:r>
              <w:rPr>
                <w:rFonts w:ascii="Times New Roman" w:hAnsi="Times New Roman"/>
                <w:b/>
                <w:sz w:val="24"/>
                <w:szCs w:val="24"/>
              </w:rPr>
              <w:t>Last day to disallow</w:t>
            </w:r>
          </w:p>
        </w:tc>
        <w:tc>
          <w:tcPr>
            <w:tcW w:w="6520" w:type="dxa"/>
          </w:tcPr>
          <w:p w:rsidR="001E0AC1" w:rsidRPr="003B6490" w:rsidRDefault="001E0AC1" w:rsidP="001E0AC1">
            <w:pPr>
              <w:pStyle w:val="letterheadbody"/>
              <w:spacing w:line="264" w:lineRule="auto"/>
              <w:ind w:left="0"/>
              <w:rPr>
                <w:rFonts w:ascii="Times New Roman" w:hAnsi="Times New Roman"/>
                <w:sz w:val="24"/>
                <w:szCs w:val="24"/>
              </w:rPr>
            </w:pPr>
            <w:r>
              <w:rPr>
                <w:rFonts w:ascii="Times New Roman" w:hAnsi="Times New Roman"/>
                <w:sz w:val="24"/>
                <w:szCs w:val="24"/>
              </w:rPr>
              <w:t>15 May 2013</w:t>
            </w:r>
          </w:p>
        </w:tc>
      </w:tr>
      <w:tr w:rsidR="001E0AC1" w:rsidRPr="00B54538" w:rsidTr="001E0AC1">
        <w:tc>
          <w:tcPr>
            <w:tcW w:w="2552" w:type="dxa"/>
          </w:tcPr>
          <w:p w:rsidR="001E0AC1" w:rsidRPr="003B6490" w:rsidRDefault="001E0AC1" w:rsidP="001E0AC1">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Authorising legislation</w:t>
            </w:r>
          </w:p>
        </w:tc>
        <w:tc>
          <w:tcPr>
            <w:tcW w:w="6520" w:type="dxa"/>
          </w:tcPr>
          <w:p w:rsidR="001E0AC1" w:rsidRPr="003B6490" w:rsidRDefault="001E0AC1" w:rsidP="001E0AC1">
            <w:pPr>
              <w:pStyle w:val="letterheadbody"/>
              <w:spacing w:line="264" w:lineRule="auto"/>
              <w:ind w:left="0"/>
              <w:rPr>
                <w:rFonts w:ascii="Times New Roman" w:hAnsi="Times New Roman"/>
                <w:sz w:val="24"/>
                <w:szCs w:val="24"/>
              </w:rPr>
            </w:pPr>
            <w:r w:rsidRPr="00310C67">
              <w:rPr>
                <w:rFonts w:ascii="Times New Roman" w:hAnsi="Times New Roman"/>
                <w:noProof/>
                <w:sz w:val="24"/>
                <w:szCs w:val="24"/>
              </w:rPr>
              <w:t>Civil Aviation Safety Regulations 1998</w:t>
            </w:r>
          </w:p>
        </w:tc>
      </w:tr>
      <w:tr w:rsidR="001E0AC1" w:rsidRPr="00B54538" w:rsidTr="001E0AC1">
        <w:tc>
          <w:tcPr>
            <w:tcW w:w="2552" w:type="dxa"/>
          </w:tcPr>
          <w:p w:rsidR="001E0AC1" w:rsidRPr="003B6490" w:rsidRDefault="001E0AC1" w:rsidP="001E0AC1">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Department</w:t>
            </w:r>
          </w:p>
        </w:tc>
        <w:tc>
          <w:tcPr>
            <w:tcW w:w="6520" w:type="dxa"/>
          </w:tcPr>
          <w:p w:rsidR="001E0AC1" w:rsidRPr="003B6490" w:rsidRDefault="001E0AC1" w:rsidP="001E0AC1">
            <w:pPr>
              <w:pStyle w:val="letterheadbody"/>
              <w:spacing w:line="264" w:lineRule="auto"/>
              <w:ind w:left="0"/>
              <w:rPr>
                <w:rFonts w:ascii="Times New Roman" w:hAnsi="Times New Roman"/>
                <w:sz w:val="24"/>
                <w:szCs w:val="24"/>
              </w:rPr>
            </w:pPr>
            <w:r w:rsidRPr="00310C67">
              <w:rPr>
                <w:rFonts w:ascii="Times New Roman" w:hAnsi="Times New Roman"/>
                <w:noProof/>
                <w:sz w:val="24"/>
                <w:szCs w:val="24"/>
              </w:rPr>
              <w:t>Infrastructure and Transport</w:t>
            </w:r>
          </w:p>
        </w:tc>
      </w:tr>
    </w:tbl>
    <w:p w:rsidR="001E0AC1" w:rsidRPr="00B54538" w:rsidRDefault="001E0AC1" w:rsidP="001E0AC1">
      <w:pPr>
        <w:spacing w:after="0"/>
        <w:rPr>
          <w:szCs w:val="26"/>
        </w:rPr>
      </w:pPr>
    </w:p>
    <w:p w:rsidR="001E0AC1" w:rsidRDefault="001E0AC1" w:rsidP="001E0AC1">
      <w:pPr>
        <w:spacing w:after="0"/>
        <w:rPr>
          <w:b/>
          <w:szCs w:val="26"/>
        </w:rPr>
      </w:pPr>
      <w:r>
        <w:rPr>
          <w:b/>
          <w:szCs w:val="26"/>
        </w:rPr>
        <w:t>ISSUE:</w:t>
      </w:r>
    </w:p>
    <w:p w:rsidR="001E0AC1" w:rsidRPr="00B54538" w:rsidRDefault="001E0AC1" w:rsidP="001E0AC1">
      <w:pPr>
        <w:pStyle w:val="Heading4"/>
        <w:numPr>
          <w:ilvl w:val="3"/>
          <w:numId w:val="21"/>
        </w:numPr>
        <w:spacing w:before="120" w:after="120"/>
        <w:rPr>
          <w:noProof/>
        </w:rPr>
      </w:pPr>
      <w:r w:rsidRPr="00310C67">
        <w:rPr>
          <w:noProof/>
        </w:rPr>
        <w:t xml:space="preserve">Insufficient explanation provided </w:t>
      </w:r>
      <w:r>
        <w:rPr>
          <w:noProof/>
        </w:rPr>
        <w:t>regarding</w:t>
      </w:r>
      <w:r w:rsidRPr="00310C67">
        <w:rPr>
          <w:noProof/>
        </w:rPr>
        <w:t xml:space="preserve"> consultation</w:t>
      </w:r>
    </w:p>
    <w:p w:rsidR="001E0AC1" w:rsidRPr="00310C67" w:rsidRDefault="001E0AC1" w:rsidP="001E0AC1">
      <w:pPr>
        <w:pStyle w:val="Level1"/>
        <w:numPr>
          <w:ilvl w:val="0"/>
          <w:numId w:val="0"/>
        </w:numPr>
        <w:rPr>
          <w:noProof/>
        </w:rPr>
      </w:pPr>
      <w:r w:rsidRPr="00AE3138">
        <w:rPr>
          <w:noProof/>
          <w:szCs w:val="26"/>
        </w:rPr>
        <w:t xml:space="preserve">Section 17 of the </w:t>
      </w:r>
      <w:r w:rsidRPr="00AE3138">
        <w:rPr>
          <w:i/>
          <w:noProof/>
          <w:szCs w:val="26"/>
        </w:rPr>
        <w:t>Legislative Instruments Act 2003</w:t>
      </w:r>
      <w:r>
        <w:rPr>
          <w:i/>
          <w:noProof/>
          <w:szCs w:val="26"/>
        </w:rPr>
        <w:t xml:space="preserve"> </w:t>
      </w:r>
      <w:r w:rsidRPr="00AE3138">
        <w:rPr>
          <w:noProof/>
          <w:szCs w:val="26"/>
        </w:rPr>
        <w:t>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ES which must accompany an instrument is required to describe the nature of any consultation that has been carried out or, if there has been no consultation, to explain w</w:t>
      </w:r>
      <w:r>
        <w:rPr>
          <w:noProof/>
          <w:szCs w:val="26"/>
        </w:rPr>
        <w:t>hy none was undertaken (section </w:t>
      </w:r>
      <w:r w:rsidRPr="00AE3138">
        <w:rPr>
          <w:noProof/>
          <w:szCs w:val="26"/>
        </w:rPr>
        <w:t>26).</w:t>
      </w:r>
      <w:r>
        <w:rPr>
          <w:noProof/>
          <w:szCs w:val="26"/>
        </w:rPr>
        <w:t xml:space="preserve"> </w:t>
      </w:r>
      <w:r w:rsidRPr="00AE3138">
        <w:rPr>
          <w:noProof/>
          <w:szCs w:val="26"/>
        </w:rPr>
        <w:t xml:space="preserve">With reference to these requirements, the committee notes that the ES </w:t>
      </w:r>
      <w:r>
        <w:rPr>
          <w:noProof/>
          <w:szCs w:val="26"/>
        </w:rPr>
        <w:t xml:space="preserve">for </w:t>
      </w:r>
      <w:r w:rsidRPr="00AE3138">
        <w:rPr>
          <w:noProof/>
          <w:szCs w:val="26"/>
        </w:rPr>
        <w:t xml:space="preserve">the </w:t>
      </w:r>
      <w:r>
        <w:rPr>
          <w:noProof/>
          <w:szCs w:val="26"/>
        </w:rPr>
        <w:t>instrument</w:t>
      </w:r>
      <w:r>
        <w:rPr>
          <w:noProof/>
        </w:rPr>
        <w:t xml:space="preserve"> states</w:t>
      </w:r>
      <w:r w:rsidRPr="00310C67">
        <w:rPr>
          <w:noProof/>
        </w:rPr>
        <w:t>:</w:t>
      </w:r>
    </w:p>
    <w:p w:rsidR="001E0AC1" w:rsidRPr="00310C67" w:rsidRDefault="001E0AC1" w:rsidP="001E0AC1">
      <w:pPr>
        <w:pStyle w:val="Quote"/>
        <w:spacing w:after="120"/>
        <w:rPr>
          <w:noProof/>
        </w:rPr>
      </w:pPr>
      <w:r w:rsidRPr="00310C67">
        <w:rPr>
          <w:noProof/>
        </w:rPr>
        <w:t>Consultation under section 17 of the LIA has not been undertaken in this case. A number of similar instruments have been issued to allow pilot training to take place in controlled airspace in ultralight aircraft where CASA con</w:t>
      </w:r>
      <w:r>
        <w:rPr>
          <w:noProof/>
        </w:rPr>
        <w:t>siders it appropriate to do so.</w:t>
      </w:r>
    </w:p>
    <w:p w:rsidR="001E0AC1" w:rsidRDefault="001E0AC1" w:rsidP="001E0AC1">
      <w:pPr>
        <w:rPr>
          <w:noProof/>
          <w:szCs w:val="26"/>
        </w:rPr>
      </w:pPr>
      <w:r w:rsidRPr="007F49E1">
        <w:rPr>
          <w:noProof/>
          <w:szCs w:val="26"/>
        </w:rPr>
        <w:t>It</w:t>
      </w:r>
      <w:r>
        <w:rPr>
          <w:noProof/>
          <w:szCs w:val="26"/>
        </w:rPr>
        <w:t xml:space="preserve"> is not clear to the committee how, of itself, the stated reason for not consulting in relation to the making of the instrument necessarily relates to a conclusion by the instrument maker that consultation was 'unecessary' or 'inappropriate' (as provided for by section 18).</w:t>
      </w:r>
      <w:r w:rsidRPr="00134E6B">
        <w:rPr>
          <w:b/>
          <w:noProof/>
          <w:szCs w:val="26"/>
        </w:rPr>
        <w:t xml:space="preserve"> The committee </w:t>
      </w:r>
      <w:r>
        <w:rPr>
          <w:b/>
          <w:noProof/>
          <w:szCs w:val="26"/>
        </w:rPr>
        <w:t xml:space="preserve">will therefore </w:t>
      </w:r>
      <w:r w:rsidRPr="00134E6B">
        <w:rPr>
          <w:b/>
          <w:noProof/>
          <w:szCs w:val="26"/>
        </w:rPr>
        <w:t>seek further information from the minister</w:t>
      </w:r>
      <w:r>
        <w:rPr>
          <w:b/>
          <w:noProof/>
          <w:szCs w:val="26"/>
        </w:rPr>
        <w:t xml:space="preserve"> </w:t>
      </w:r>
      <w:r w:rsidRPr="00940F8E">
        <w:rPr>
          <w:b/>
          <w:noProof/>
        </w:rPr>
        <w:t xml:space="preserve">and request that the ES be updated in accordance with the requirements of the </w:t>
      </w:r>
      <w:r w:rsidRPr="00E2599D">
        <w:rPr>
          <w:b/>
          <w:i/>
          <w:noProof/>
        </w:rPr>
        <w:t>Legislative Instruments Act 2003</w:t>
      </w:r>
      <w:r w:rsidRPr="00310C67">
        <w:rPr>
          <w:noProof/>
          <w:szCs w:val="26"/>
        </w:rPr>
        <w:t>.</w:t>
      </w:r>
    </w:p>
    <w:p w:rsidR="001E0AC1" w:rsidRDefault="001E0AC1" w:rsidP="009F02ED">
      <w:pPr>
        <w:spacing w:after="0"/>
        <w:jc w:val="left"/>
        <w:rPr>
          <w:b/>
          <w:noProof/>
          <w:sz w:val="28"/>
        </w:rPr>
      </w:pPr>
      <w:r>
        <w:rPr>
          <w:noProof/>
        </w:rPr>
        <w:br w:type="page"/>
      </w:r>
    </w:p>
    <w:p w:rsidR="001E0AC1" w:rsidRPr="00B54538" w:rsidRDefault="001E0AC1" w:rsidP="009F02ED">
      <w:pPr>
        <w:pStyle w:val="Heading3"/>
      </w:pPr>
      <w:r w:rsidRPr="00310C67">
        <w:rPr>
          <w:noProof/>
        </w:rPr>
        <w:lastRenderedPageBreak/>
        <w:t>Coastal Trading (Revitalising Australian Shipping) Act 2012 – Section 11 exemption for cruise vessels</w:t>
      </w:r>
      <w:r>
        <w:rPr>
          <w:noProof/>
        </w:rPr>
        <w:t xml:space="preserve"> </w:t>
      </w:r>
      <w:r w:rsidRPr="000E6FB5">
        <w:t>[F2012L02585]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1E0AC1" w:rsidRPr="00B54538" w:rsidTr="001E0AC1">
        <w:tc>
          <w:tcPr>
            <w:tcW w:w="2552" w:type="dxa"/>
          </w:tcPr>
          <w:p w:rsidR="001E0AC1" w:rsidRPr="003B6490" w:rsidRDefault="001E0AC1" w:rsidP="001E0AC1">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Purpose</w:t>
            </w:r>
          </w:p>
        </w:tc>
        <w:tc>
          <w:tcPr>
            <w:tcW w:w="6520" w:type="dxa"/>
          </w:tcPr>
          <w:p w:rsidR="001E0AC1" w:rsidRPr="003B6490" w:rsidRDefault="001E0AC1" w:rsidP="001E0AC1">
            <w:pPr>
              <w:pStyle w:val="letterheadbody"/>
              <w:spacing w:line="264" w:lineRule="auto"/>
              <w:ind w:left="0"/>
              <w:rPr>
                <w:rFonts w:ascii="Times New Roman" w:hAnsi="Times New Roman"/>
                <w:sz w:val="24"/>
                <w:szCs w:val="24"/>
              </w:rPr>
            </w:pPr>
            <w:r w:rsidRPr="00310C67">
              <w:rPr>
                <w:rFonts w:ascii="Times New Roman" w:hAnsi="Times New Roman"/>
                <w:noProof/>
                <w:sz w:val="24"/>
                <w:szCs w:val="24"/>
              </w:rPr>
              <w:t xml:space="preserve">Provides an exemption from the </w:t>
            </w:r>
            <w:r w:rsidRPr="006E5BFF">
              <w:rPr>
                <w:rFonts w:ascii="Times New Roman" w:hAnsi="Times New Roman"/>
                <w:i/>
                <w:noProof/>
                <w:sz w:val="24"/>
                <w:szCs w:val="24"/>
              </w:rPr>
              <w:t>Coastal Trading (Revitalising Australian Shipping) Act 2012</w:t>
            </w:r>
            <w:r w:rsidRPr="00310C67">
              <w:rPr>
                <w:rFonts w:ascii="Times New Roman" w:hAnsi="Times New Roman"/>
                <w:noProof/>
                <w:sz w:val="24"/>
                <w:szCs w:val="24"/>
              </w:rPr>
              <w:t xml:space="preserve"> for </w:t>
            </w:r>
            <w:r>
              <w:rPr>
                <w:rFonts w:ascii="Times New Roman" w:hAnsi="Times New Roman"/>
                <w:noProof/>
                <w:sz w:val="24"/>
                <w:szCs w:val="24"/>
              </w:rPr>
              <w:t>certain cruise vessels</w:t>
            </w:r>
          </w:p>
        </w:tc>
      </w:tr>
      <w:tr w:rsidR="001E0AC1" w:rsidRPr="00B54538" w:rsidTr="001E0AC1">
        <w:tc>
          <w:tcPr>
            <w:tcW w:w="2552" w:type="dxa"/>
          </w:tcPr>
          <w:p w:rsidR="001E0AC1" w:rsidRPr="003B6490" w:rsidRDefault="001E0AC1" w:rsidP="001E0AC1">
            <w:pPr>
              <w:pStyle w:val="letterheadbody"/>
              <w:spacing w:line="264" w:lineRule="auto"/>
              <w:ind w:left="0"/>
              <w:rPr>
                <w:rFonts w:ascii="Times New Roman" w:hAnsi="Times New Roman"/>
                <w:sz w:val="24"/>
                <w:szCs w:val="24"/>
              </w:rPr>
            </w:pPr>
            <w:r>
              <w:rPr>
                <w:rFonts w:ascii="Times New Roman" w:hAnsi="Times New Roman"/>
                <w:b/>
                <w:sz w:val="24"/>
                <w:szCs w:val="24"/>
              </w:rPr>
              <w:t>Last day to disallow</w:t>
            </w:r>
          </w:p>
        </w:tc>
        <w:tc>
          <w:tcPr>
            <w:tcW w:w="6520" w:type="dxa"/>
          </w:tcPr>
          <w:p w:rsidR="001E0AC1" w:rsidRPr="003B6490" w:rsidRDefault="001E0AC1" w:rsidP="001E0AC1">
            <w:pPr>
              <w:pStyle w:val="letterheadbody"/>
              <w:spacing w:line="264" w:lineRule="auto"/>
              <w:ind w:left="0"/>
              <w:rPr>
                <w:rFonts w:ascii="Times New Roman" w:hAnsi="Times New Roman"/>
                <w:sz w:val="24"/>
                <w:szCs w:val="24"/>
              </w:rPr>
            </w:pPr>
            <w:r>
              <w:rPr>
                <w:rFonts w:ascii="Times New Roman" w:hAnsi="Times New Roman"/>
                <w:sz w:val="24"/>
                <w:szCs w:val="24"/>
              </w:rPr>
              <w:t>15 May 2013</w:t>
            </w:r>
          </w:p>
        </w:tc>
      </w:tr>
      <w:tr w:rsidR="001E0AC1" w:rsidRPr="00B54538" w:rsidTr="001E0AC1">
        <w:tc>
          <w:tcPr>
            <w:tcW w:w="2552" w:type="dxa"/>
          </w:tcPr>
          <w:p w:rsidR="001E0AC1" w:rsidRPr="003B6490" w:rsidRDefault="001E0AC1" w:rsidP="001E0AC1">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Authorising legislation</w:t>
            </w:r>
          </w:p>
        </w:tc>
        <w:tc>
          <w:tcPr>
            <w:tcW w:w="6520" w:type="dxa"/>
          </w:tcPr>
          <w:p w:rsidR="001E0AC1" w:rsidRPr="00AE3138" w:rsidRDefault="001E0AC1" w:rsidP="001E0AC1">
            <w:pPr>
              <w:pStyle w:val="letterheadbody"/>
              <w:spacing w:line="264" w:lineRule="auto"/>
              <w:ind w:left="0"/>
              <w:rPr>
                <w:rFonts w:ascii="Times New Roman" w:hAnsi="Times New Roman"/>
                <w:i/>
                <w:sz w:val="24"/>
                <w:szCs w:val="24"/>
              </w:rPr>
            </w:pPr>
            <w:r w:rsidRPr="00AE3138">
              <w:rPr>
                <w:rFonts w:ascii="Times New Roman" w:hAnsi="Times New Roman"/>
                <w:i/>
                <w:noProof/>
                <w:sz w:val="24"/>
                <w:szCs w:val="24"/>
              </w:rPr>
              <w:t>Coastal Trading (Revitalising Australian Shipping) Act 2012</w:t>
            </w:r>
          </w:p>
        </w:tc>
      </w:tr>
      <w:tr w:rsidR="001E0AC1" w:rsidRPr="00B54538" w:rsidTr="001E0AC1">
        <w:tc>
          <w:tcPr>
            <w:tcW w:w="2552" w:type="dxa"/>
          </w:tcPr>
          <w:p w:rsidR="001E0AC1" w:rsidRPr="003B6490" w:rsidRDefault="001E0AC1" w:rsidP="001E0AC1">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Department</w:t>
            </w:r>
          </w:p>
        </w:tc>
        <w:tc>
          <w:tcPr>
            <w:tcW w:w="6520" w:type="dxa"/>
          </w:tcPr>
          <w:p w:rsidR="001E0AC1" w:rsidRPr="003B6490" w:rsidRDefault="001E0AC1" w:rsidP="001E0AC1">
            <w:pPr>
              <w:pStyle w:val="letterheadbody"/>
              <w:spacing w:line="264" w:lineRule="auto"/>
              <w:ind w:left="0"/>
              <w:rPr>
                <w:rFonts w:ascii="Times New Roman" w:hAnsi="Times New Roman"/>
                <w:sz w:val="24"/>
                <w:szCs w:val="24"/>
              </w:rPr>
            </w:pPr>
            <w:r w:rsidRPr="00310C67">
              <w:rPr>
                <w:rFonts w:ascii="Times New Roman" w:hAnsi="Times New Roman"/>
                <w:noProof/>
                <w:sz w:val="24"/>
                <w:szCs w:val="24"/>
              </w:rPr>
              <w:t>Infrastructure and Transport</w:t>
            </w:r>
          </w:p>
        </w:tc>
      </w:tr>
    </w:tbl>
    <w:p w:rsidR="001E0AC1" w:rsidRPr="00B54538" w:rsidRDefault="001E0AC1" w:rsidP="001E0AC1">
      <w:pPr>
        <w:spacing w:after="0"/>
        <w:rPr>
          <w:szCs w:val="26"/>
        </w:rPr>
      </w:pPr>
    </w:p>
    <w:p w:rsidR="001E0AC1" w:rsidRDefault="001E0AC1" w:rsidP="001E0AC1">
      <w:pPr>
        <w:spacing w:after="0"/>
        <w:rPr>
          <w:b/>
          <w:szCs w:val="26"/>
        </w:rPr>
      </w:pPr>
      <w:r>
        <w:rPr>
          <w:b/>
          <w:szCs w:val="26"/>
        </w:rPr>
        <w:t>ISSUES:</w:t>
      </w:r>
    </w:p>
    <w:p w:rsidR="001E0AC1" w:rsidRPr="00B54538" w:rsidRDefault="001E0AC1" w:rsidP="001E0AC1">
      <w:pPr>
        <w:pStyle w:val="Heading4"/>
        <w:numPr>
          <w:ilvl w:val="3"/>
          <w:numId w:val="21"/>
        </w:numPr>
        <w:spacing w:before="120" w:after="120"/>
        <w:rPr>
          <w:noProof/>
        </w:rPr>
      </w:pPr>
      <w:r>
        <w:rPr>
          <w:noProof/>
        </w:rPr>
        <w:t xml:space="preserve">(a) </w:t>
      </w:r>
      <w:r w:rsidRPr="00310C67">
        <w:rPr>
          <w:noProof/>
        </w:rPr>
        <w:t xml:space="preserve">No explanation provided </w:t>
      </w:r>
      <w:r>
        <w:rPr>
          <w:noProof/>
        </w:rPr>
        <w:t xml:space="preserve">regarding </w:t>
      </w:r>
      <w:r w:rsidRPr="00310C67">
        <w:rPr>
          <w:noProof/>
        </w:rPr>
        <w:t xml:space="preserve">consultation </w:t>
      </w:r>
    </w:p>
    <w:p w:rsidR="001E0AC1" w:rsidRDefault="001E0AC1" w:rsidP="001E0AC1">
      <w:pPr>
        <w:rPr>
          <w:noProof/>
          <w:szCs w:val="26"/>
        </w:rPr>
      </w:pPr>
      <w:r w:rsidRPr="00AE3138">
        <w:rPr>
          <w:noProof/>
          <w:szCs w:val="26"/>
        </w:rPr>
        <w:t xml:space="preserve">Section 17 of the </w:t>
      </w:r>
      <w:r w:rsidRPr="00AE3138">
        <w:rPr>
          <w:i/>
          <w:noProof/>
          <w:szCs w:val="26"/>
        </w:rPr>
        <w:t>Legislative Instruments Act 2003</w:t>
      </w:r>
      <w:r>
        <w:rPr>
          <w:i/>
          <w:noProof/>
          <w:szCs w:val="26"/>
        </w:rPr>
        <w:t xml:space="preserve"> </w:t>
      </w:r>
      <w:r w:rsidRPr="00AE3138">
        <w:rPr>
          <w:noProof/>
          <w:szCs w:val="26"/>
        </w:rPr>
        <w:t>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ES which must accompany an instrument is required to describe the nature of any consultation that has been carried out or, if there has been no consultation, to explain w</w:t>
      </w:r>
      <w:r>
        <w:rPr>
          <w:noProof/>
          <w:szCs w:val="26"/>
        </w:rPr>
        <w:t>hy none was undertaken (section </w:t>
      </w:r>
      <w:r w:rsidRPr="00AE3138">
        <w:rPr>
          <w:noProof/>
          <w:szCs w:val="26"/>
        </w:rPr>
        <w:t>26).</w:t>
      </w:r>
      <w:r>
        <w:rPr>
          <w:noProof/>
          <w:szCs w:val="26"/>
        </w:rPr>
        <w:t xml:space="preserve"> </w:t>
      </w:r>
      <w:r w:rsidRPr="00AE3138">
        <w:rPr>
          <w:noProof/>
          <w:szCs w:val="26"/>
        </w:rPr>
        <w:t xml:space="preserve">With reference to these requirements, the committee notes that the ES accompanying the </w:t>
      </w:r>
      <w:r>
        <w:rPr>
          <w:noProof/>
          <w:szCs w:val="26"/>
        </w:rPr>
        <w:t xml:space="preserve">instrument contains no reference to consultation. </w:t>
      </w:r>
      <w:r w:rsidRPr="00940F8E">
        <w:rPr>
          <w:b/>
          <w:noProof/>
        </w:rPr>
        <w:t xml:space="preserve">The committee will </w:t>
      </w:r>
      <w:r>
        <w:rPr>
          <w:b/>
          <w:noProof/>
        </w:rPr>
        <w:t xml:space="preserve">therefore </w:t>
      </w:r>
      <w:r w:rsidRPr="00940F8E">
        <w:rPr>
          <w:b/>
          <w:noProof/>
        </w:rPr>
        <w:t xml:space="preserve">seek </w:t>
      </w:r>
      <w:r>
        <w:rPr>
          <w:b/>
          <w:noProof/>
        </w:rPr>
        <w:t>further information</w:t>
      </w:r>
      <w:r w:rsidRPr="00940F8E">
        <w:rPr>
          <w:b/>
          <w:noProof/>
        </w:rPr>
        <w:t xml:space="preserve"> from the minister and request that the ES be updated in accordance with the requirements of the </w:t>
      </w:r>
      <w:r w:rsidRPr="00E2599D">
        <w:rPr>
          <w:b/>
          <w:i/>
          <w:noProof/>
        </w:rPr>
        <w:t>Legislative Instruments Act 2003</w:t>
      </w:r>
      <w:r>
        <w:rPr>
          <w:noProof/>
        </w:rPr>
        <w:t>.</w:t>
      </w:r>
    </w:p>
    <w:p w:rsidR="001E0AC1" w:rsidRPr="00310C67" w:rsidRDefault="001E0AC1" w:rsidP="001E0AC1">
      <w:pPr>
        <w:pStyle w:val="Heading4"/>
        <w:numPr>
          <w:ilvl w:val="0"/>
          <w:numId w:val="0"/>
        </w:numPr>
        <w:rPr>
          <w:noProof/>
          <w:szCs w:val="26"/>
        </w:rPr>
      </w:pPr>
      <w:r w:rsidRPr="00310C67">
        <w:rPr>
          <w:noProof/>
        </w:rPr>
        <w:t>(b) Whether exemption more appropriate for parliamentary enactment</w:t>
      </w:r>
    </w:p>
    <w:p w:rsidR="001E0AC1" w:rsidRDefault="001E0AC1" w:rsidP="001E0AC1">
      <w:pPr>
        <w:rPr>
          <w:noProof/>
        </w:rPr>
      </w:pPr>
      <w:r w:rsidRPr="00310C67">
        <w:rPr>
          <w:noProof/>
          <w:szCs w:val="26"/>
        </w:rPr>
        <w:t xml:space="preserve">The instrument allows a certain class of vessel to engage in carriage of passengers between Australian ports (except Victoria and Tasmania) without a licence, continuing for a further four years an exemption in effect since 1998. </w:t>
      </w:r>
      <w:r>
        <w:rPr>
          <w:noProof/>
          <w:szCs w:val="26"/>
        </w:rPr>
        <w:t xml:space="preserve">The committee considers that the exemption </w:t>
      </w:r>
      <w:r w:rsidRPr="00310C67">
        <w:rPr>
          <w:noProof/>
          <w:szCs w:val="26"/>
        </w:rPr>
        <w:t>could be characterised as a de facto amendment to the Act, and as such it may be that the exemption would be more appropriately effected through an amendment to the principal Act.</w:t>
      </w:r>
      <w:r>
        <w:rPr>
          <w:noProof/>
          <w:szCs w:val="26"/>
        </w:rPr>
        <w:t xml:space="preserve"> </w:t>
      </w:r>
      <w:r w:rsidRPr="00940F8E">
        <w:rPr>
          <w:b/>
          <w:noProof/>
        </w:rPr>
        <w:t xml:space="preserve">The committee will </w:t>
      </w:r>
      <w:r>
        <w:rPr>
          <w:b/>
          <w:noProof/>
        </w:rPr>
        <w:t xml:space="preserve">therefore </w:t>
      </w:r>
      <w:r w:rsidRPr="00940F8E">
        <w:rPr>
          <w:b/>
          <w:noProof/>
        </w:rPr>
        <w:t xml:space="preserve">seek </w:t>
      </w:r>
      <w:r>
        <w:rPr>
          <w:b/>
          <w:noProof/>
        </w:rPr>
        <w:t>further information</w:t>
      </w:r>
      <w:r w:rsidRPr="00940F8E">
        <w:rPr>
          <w:b/>
          <w:noProof/>
        </w:rPr>
        <w:t xml:space="preserve"> from the minister</w:t>
      </w:r>
      <w:r>
        <w:rPr>
          <w:noProof/>
        </w:rPr>
        <w:t>.</w:t>
      </w:r>
    </w:p>
    <w:p w:rsidR="001E0AC1" w:rsidRDefault="001E0AC1" w:rsidP="001E0AC1">
      <w:pPr>
        <w:spacing w:after="0"/>
        <w:jc w:val="left"/>
        <w:rPr>
          <w:b/>
          <w:noProof/>
          <w:sz w:val="28"/>
        </w:rPr>
      </w:pPr>
      <w:r>
        <w:rPr>
          <w:noProof/>
        </w:rPr>
        <w:br w:type="page"/>
      </w:r>
    </w:p>
    <w:p w:rsidR="001E0AC1" w:rsidRPr="00B54538" w:rsidRDefault="001E0AC1" w:rsidP="009F02ED">
      <w:pPr>
        <w:pStyle w:val="Heading3"/>
      </w:pPr>
      <w:r w:rsidRPr="00310C67">
        <w:rPr>
          <w:noProof/>
        </w:rPr>
        <w:lastRenderedPageBreak/>
        <w:t>Commonwealth Places (Mirror Taxes) (Modification of Applied Laws (WA)) Amendment Notice 2012</w:t>
      </w:r>
      <w:r>
        <w:rPr>
          <w:noProof/>
        </w:rPr>
        <w:t xml:space="preserve"> </w:t>
      </w:r>
      <w:r w:rsidRPr="000E6FB5">
        <w:t>[F2012L02505]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1E0AC1" w:rsidRPr="00B54538" w:rsidTr="001E0AC1">
        <w:tc>
          <w:tcPr>
            <w:tcW w:w="2552" w:type="dxa"/>
          </w:tcPr>
          <w:p w:rsidR="001E0AC1" w:rsidRPr="003B6490" w:rsidRDefault="001E0AC1" w:rsidP="001E0AC1">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Purpose</w:t>
            </w:r>
          </w:p>
        </w:tc>
        <w:tc>
          <w:tcPr>
            <w:tcW w:w="6520" w:type="dxa"/>
          </w:tcPr>
          <w:p w:rsidR="001E0AC1" w:rsidRPr="003B6490" w:rsidRDefault="001E0AC1" w:rsidP="001E0AC1">
            <w:pPr>
              <w:pStyle w:val="letterheadbody"/>
              <w:spacing w:line="264" w:lineRule="auto"/>
              <w:ind w:left="0"/>
              <w:rPr>
                <w:rFonts w:ascii="Times New Roman" w:hAnsi="Times New Roman"/>
                <w:sz w:val="24"/>
                <w:szCs w:val="24"/>
              </w:rPr>
            </w:pPr>
            <w:r w:rsidRPr="00310C67">
              <w:rPr>
                <w:rFonts w:ascii="Times New Roman" w:hAnsi="Times New Roman"/>
                <w:noProof/>
                <w:sz w:val="24"/>
                <w:szCs w:val="24"/>
              </w:rPr>
              <w:t xml:space="preserve">Amends the Commonwealth Places (Mirror Taxes) (Modification of Applied Laws (WA)) Notice 2007 to reflect changes to certain taxing </w:t>
            </w:r>
            <w:r>
              <w:rPr>
                <w:rFonts w:ascii="Times New Roman" w:hAnsi="Times New Roman"/>
                <w:noProof/>
                <w:sz w:val="24"/>
                <w:szCs w:val="24"/>
              </w:rPr>
              <w:t>laws</w:t>
            </w:r>
          </w:p>
        </w:tc>
      </w:tr>
      <w:tr w:rsidR="001E0AC1" w:rsidRPr="00B54538" w:rsidTr="001E0AC1">
        <w:tc>
          <w:tcPr>
            <w:tcW w:w="2552" w:type="dxa"/>
          </w:tcPr>
          <w:p w:rsidR="001E0AC1" w:rsidRPr="003B6490" w:rsidRDefault="001E0AC1" w:rsidP="001E0AC1">
            <w:pPr>
              <w:pStyle w:val="letterheadbody"/>
              <w:spacing w:line="264" w:lineRule="auto"/>
              <w:ind w:left="0"/>
              <w:rPr>
                <w:rFonts w:ascii="Times New Roman" w:hAnsi="Times New Roman"/>
                <w:sz w:val="24"/>
                <w:szCs w:val="24"/>
              </w:rPr>
            </w:pPr>
            <w:r>
              <w:rPr>
                <w:rFonts w:ascii="Times New Roman" w:hAnsi="Times New Roman"/>
                <w:b/>
                <w:sz w:val="24"/>
                <w:szCs w:val="24"/>
              </w:rPr>
              <w:t>Last day to disallow</w:t>
            </w:r>
          </w:p>
        </w:tc>
        <w:tc>
          <w:tcPr>
            <w:tcW w:w="6520" w:type="dxa"/>
          </w:tcPr>
          <w:p w:rsidR="001E0AC1" w:rsidRPr="003B6490" w:rsidRDefault="001E0AC1" w:rsidP="001E0AC1">
            <w:pPr>
              <w:pStyle w:val="letterheadbody"/>
              <w:spacing w:line="264" w:lineRule="auto"/>
              <w:ind w:left="0"/>
              <w:rPr>
                <w:rFonts w:ascii="Times New Roman" w:hAnsi="Times New Roman"/>
                <w:sz w:val="24"/>
                <w:szCs w:val="24"/>
              </w:rPr>
            </w:pPr>
            <w:r>
              <w:rPr>
                <w:rFonts w:ascii="Times New Roman" w:hAnsi="Times New Roman"/>
                <w:sz w:val="24"/>
                <w:szCs w:val="24"/>
              </w:rPr>
              <w:t>15 May 2013</w:t>
            </w:r>
          </w:p>
        </w:tc>
      </w:tr>
      <w:tr w:rsidR="001E0AC1" w:rsidRPr="00B54538" w:rsidTr="001E0AC1">
        <w:tc>
          <w:tcPr>
            <w:tcW w:w="2552" w:type="dxa"/>
          </w:tcPr>
          <w:p w:rsidR="001E0AC1" w:rsidRPr="003B6490" w:rsidRDefault="001E0AC1" w:rsidP="001E0AC1">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Authorising legislation</w:t>
            </w:r>
          </w:p>
        </w:tc>
        <w:tc>
          <w:tcPr>
            <w:tcW w:w="6520" w:type="dxa"/>
          </w:tcPr>
          <w:p w:rsidR="001E0AC1" w:rsidRPr="00A84909" w:rsidRDefault="001E0AC1" w:rsidP="001E0AC1">
            <w:pPr>
              <w:pStyle w:val="letterheadbody"/>
              <w:spacing w:line="264" w:lineRule="auto"/>
              <w:ind w:left="0"/>
              <w:rPr>
                <w:rFonts w:ascii="Times New Roman" w:hAnsi="Times New Roman"/>
                <w:i/>
                <w:sz w:val="24"/>
                <w:szCs w:val="24"/>
              </w:rPr>
            </w:pPr>
            <w:r w:rsidRPr="00A84909">
              <w:rPr>
                <w:rFonts w:ascii="Times New Roman" w:hAnsi="Times New Roman"/>
                <w:i/>
                <w:noProof/>
                <w:sz w:val="24"/>
                <w:szCs w:val="24"/>
              </w:rPr>
              <w:t>Commonwealth Places (Mirror Taxes) Act 1998</w:t>
            </w:r>
          </w:p>
        </w:tc>
      </w:tr>
      <w:tr w:rsidR="001E0AC1" w:rsidRPr="00B54538" w:rsidTr="001E0AC1">
        <w:tc>
          <w:tcPr>
            <w:tcW w:w="2552" w:type="dxa"/>
          </w:tcPr>
          <w:p w:rsidR="001E0AC1" w:rsidRPr="003B6490" w:rsidRDefault="001E0AC1" w:rsidP="001E0AC1">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Department</w:t>
            </w:r>
          </w:p>
        </w:tc>
        <w:tc>
          <w:tcPr>
            <w:tcW w:w="6520" w:type="dxa"/>
          </w:tcPr>
          <w:p w:rsidR="001E0AC1" w:rsidRPr="003B6490" w:rsidRDefault="001E0AC1" w:rsidP="001E0AC1">
            <w:pPr>
              <w:pStyle w:val="letterheadbody"/>
              <w:spacing w:line="264" w:lineRule="auto"/>
              <w:ind w:left="0"/>
              <w:rPr>
                <w:rFonts w:ascii="Times New Roman" w:hAnsi="Times New Roman"/>
                <w:sz w:val="24"/>
                <w:szCs w:val="24"/>
              </w:rPr>
            </w:pPr>
            <w:r w:rsidRPr="00310C67">
              <w:rPr>
                <w:rFonts w:ascii="Times New Roman" w:hAnsi="Times New Roman"/>
                <w:noProof/>
                <w:sz w:val="24"/>
                <w:szCs w:val="24"/>
              </w:rPr>
              <w:t>Treasury</w:t>
            </w:r>
          </w:p>
        </w:tc>
      </w:tr>
    </w:tbl>
    <w:p w:rsidR="001E0AC1" w:rsidRPr="00B54538" w:rsidRDefault="001E0AC1" w:rsidP="001E0AC1">
      <w:pPr>
        <w:spacing w:after="0"/>
        <w:rPr>
          <w:szCs w:val="26"/>
        </w:rPr>
      </w:pPr>
    </w:p>
    <w:p w:rsidR="001E0AC1" w:rsidRDefault="001E0AC1" w:rsidP="001E0AC1">
      <w:pPr>
        <w:spacing w:after="0"/>
        <w:rPr>
          <w:b/>
          <w:szCs w:val="26"/>
        </w:rPr>
      </w:pPr>
      <w:r w:rsidRPr="00B54538">
        <w:rPr>
          <w:b/>
          <w:szCs w:val="26"/>
        </w:rPr>
        <w:t>ISSUE</w:t>
      </w:r>
      <w:r>
        <w:rPr>
          <w:b/>
          <w:szCs w:val="26"/>
        </w:rPr>
        <w:t>S</w:t>
      </w:r>
      <w:r w:rsidRPr="00B54538">
        <w:rPr>
          <w:b/>
          <w:szCs w:val="26"/>
        </w:rPr>
        <w:t>:</w:t>
      </w:r>
    </w:p>
    <w:p w:rsidR="001E0AC1" w:rsidRPr="00B54538" w:rsidRDefault="001E0AC1" w:rsidP="001E0AC1">
      <w:pPr>
        <w:pStyle w:val="Heading4"/>
        <w:numPr>
          <w:ilvl w:val="3"/>
          <w:numId w:val="21"/>
        </w:numPr>
        <w:spacing w:before="120" w:after="120"/>
        <w:rPr>
          <w:noProof/>
        </w:rPr>
      </w:pPr>
      <w:r w:rsidRPr="00310C67">
        <w:rPr>
          <w:noProof/>
        </w:rPr>
        <w:t>(a) Retrospectivity</w:t>
      </w:r>
    </w:p>
    <w:p w:rsidR="001E0AC1" w:rsidRPr="00310C67" w:rsidRDefault="001E0AC1" w:rsidP="001E0AC1">
      <w:pPr>
        <w:rPr>
          <w:noProof/>
          <w:szCs w:val="26"/>
        </w:rPr>
      </w:pPr>
      <w:r w:rsidRPr="00310C67">
        <w:rPr>
          <w:noProof/>
          <w:szCs w:val="26"/>
        </w:rPr>
        <w:t xml:space="preserve">Section 12(2) the </w:t>
      </w:r>
      <w:r w:rsidRPr="009B4985">
        <w:rPr>
          <w:i/>
          <w:noProof/>
          <w:szCs w:val="26"/>
        </w:rPr>
        <w:t>Legislative Instruments Act 2003</w:t>
      </w:r>
      <w:r w:rsidRPr="00310C67">
        <w:rPr>
          <w:noProof/>
          <w:szCs w:val="26"/>
        </w:rPr>
        <w:t xml:space="preserve"> provides that an instrument that commences retrospectively is of no effect if it would disadvantage the rights of a person (other than the Commonwealth) or impose a liability on a person (other than the Commonwealth) for an act or omission before the instrument's date of registration.</w:t>
      </w:r>
      <w:r>
        <w:rPr>
          <w:noProof/>
          <w:szCs w:val="26"/>
        </w:rPr>
        <w:t xml:space="preserve"> </w:t>
      </w:r>
      <w:r w:rsidRPr="00310C67">
        <w:rPr>
          <w:noProof/>
          <w:szCs w:val="26"/>
        </w:rPr>
        <w:t>While this instrument commenced on the day after</w:t>
      </w:r>
      <w:r>
        <w:rPr>
          <w:noProof/>
          <w:szCs w:val="26"/>
        </w:rPr>
        <w:t xml:space="preserve"> its registration, its effect i</w:t>
      </w:r>
      <w:r w:rsidRPr="00310C67">
        <w:rPr>
          <w:noProof/>
          <w:szCs w:val="26"/>
        </w:rPr>
        <w:t>s to amend the principal instrument to give various provisions of the principal instrument effect from eit</w:t>
      </w:r>
      <w:r>
        <w:rPr>
          <w:noProof/>
          <w:szCs w:val="26"/>
        </w:rPr>
        <w:t xml:space="preserve">her 1 July 2008 or 25 June 2010. The committee will generally make inquiries to ensure that retrospective effects do not act to a person's disadvantage or detriment. </w:t>
      </w:r>
      <w:r w:rsidRPr="009B4985">
        <w:rPr>
          <w:b/>
          <w:noProof/>
          <w:szCs w:val="26"/>
        </w:rPr>
        <w:t>The committee will therefore seek further information from the minister</w:t>
      </w:r>
      <w:r w:rsidRPr="00310C67">
        <w:rPr>
          <w:noProof/>
          <w:szCs w:val="26"/>
        </w:rPr>
        <w:t>.</w:t>
      </w:r>
    </w:p>
    <w:p w:rsidR="001E0AC1" w:rsidRPr="00310C67" w:rsidRDefault="001E0AC1" w:rsidP="001E0AC1">
      <w:pPr>
        <w:pStyle w:val="Heading4"/>
        <w:numPr>
          <w:ilvl w:val="3"/>
          <w:numId w:val="21"/>
        </w:numPr>
        <w:spacing w:before="120" w:after="120"/>
        <w:rPr>
          <w:noProof/>
          <w:szCs w:val="26"/>
        </w:rPr>
      </w:pPr>
      <w:r w:rsidRPr="00310C67">
        <w:rPr>
          <w:noProof/>
        </w:rPr>
        <w:t>(b) Drafting</w:t>
      </w:r>
    </w:p>
    <w:p w:rsidR="001E0AC1" w:rsidRDefault="001E0AC1" w:rsidP="001E0AC1">
      <w:pPr>
        <w:rPr>
          <w:noProof/>
          <w:szCs w:val="26"/>
        </w:rPr>
      </w:pPr>
      <w:r w:rsidRPr="00310C67">
        <w:rPr>
          <w:noProof/>
          <w:szCs w:val="26"/>
        </w:rPr>
        <w:t xml:space="preserve">The footer to the instrument contains the </w:t>
      </w:r>
      <w:r>
        <w:rPr>
          <w:noProof/>
          <w:szCs w:val="26"/>
        </w:rPr>
        <w:t>words '</w:t>
      </w:r>
      <w:r w:rsidRPr="00310C67">
        <w:rPr>
          <w:noProof/>
          <w:szCs w:val="26"/>
        </w:rPr>
        <w:t>Draft 7</w:t>
      </w:r>
      <w:r>
        <w:rPr>
          <w:noProof/>
          <w:szCs w:val="26"/>
        </w:rPr>
        <w:t>'</w:t>
      </w:r>
      <w:r w:rsidRPr="00310C67">
        <w:rPr>
          <w:noProof/>
          <w:szCs w:val="26"/>
        </w:rPr>
        <w:t>.</w:t>
      </w:r>
      <w:r w:rsidRPr="00457181">
        <w:rPr>
          <w:noProof/>
          <w:szCs w:val="26"/>
        </w:rPr>
        <w:t xml:space="preserve"> </w:t>
      </w:r>
      <w:r>
        <w:rPr>
          <w:noProof/>
          <w:szCs w:val="26"/>
        </w:rPr>
        <w:t xml:space="preserve">In such cases, the committee generally inquires as to whether the version of the instrument it has received is in fact the final approved version. </w:t>
      </w:r>
      <w:r w:rsidRPr="009B4985">
        <w:rPr>
          <w:b/>
          <w:noProof/>
          <w:szCs w:val="26"/>
        </w:rPr>
        <w:t>The committee will therefore draw the issue to the minister's attention</w:t>
      </w:r>
      <w:r w:rsidRPr="00310C67">
        <w:rPr>
          <w:noProof/>
          <w:szCs w:val="26"/>
        </w:rPr>
        <w:t>.</w:t>
      </w:r>
    </w:p>
    <w:p w:rsidR="001E0AC1" w:rsidRDefault="001E0AC1" w:rsidP="001E0AC1">
      <w:pPr>
        <w:spacing w:after="0"/>
        <w:jc w:val="left"/>
        <w:rPr>
          <w:b/>
          <w:noProof/>
          <w:sz w:val="28"/>
        </w:rPr>
      </w:pPr>
      <w:r>
        <w:rPr>
          <w:noProof/>
        </w:rPr>
        <w:br w:type="page"/>
      </w:r>
    </w:p>
    <w:p w:rsidR="001E0AC1" w:rsidRPr="00B54538" w:rsidRDefault="001E0AC1" w:rsidP="009F02ED">
      <w:pPr>
        <w:pStyle w:val="Heading3"/>
      </w:pPr>
      <w:r w:rsidRPr="00310C67">
        <w:rPr>
          <w:noProof/>
        </w:rPr>
        <w:lastRenderedPageBreak/>
        <w:t>Customs (Malaysian Rules of Origin) Regulation 2012 [Select Legislative Instrument 2012 No. 318]</w:t>
      </w:r>
      <w:r>
        <w:rPr>
          <w:noProof/>
        </w:rPr>
        <w:t xml:space="preserve"> </w:t>
      </w:r>
      <w:r w:rsidRPr="0063559F">
        <w:t>[F2012L02435]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1E0AC1" w:rsidRPr="00B54538" w:rsidTr="001E0AC1">
        <w:tc>
          <w:tcPr>
            <w:tcW w:w="2552" w:type="dxa"/>
          </w:tcPr>
          <w:p w:rsidR="001E0AC1" w:rsidRPr="003B6490" w:rsidRDefault="001E0AC1" w:rsidP="001E0AC1">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Purpose</w:t>
            </w:r>
          </w:p>
        </w:tc>
        <w:tc>
          <w:tcPr>
            <w:tcW w:w="6520" w:type="dxa"/>
          </w:tcPr>
          <w:p w:rsidR="001E0AC1" w:rsidRPr="003B6490" w:rsidRDefault="001E0AC1" w:rsidP="001E0AC1">
            <w:pPr>
              <w:pStyle w:val="letterheadbody"/>
              <w:spacing w:line="264" w:lineRule="auto"/>
              <w:ind w:left="0"/>
              <w:rPr>
                <w:rFonts w:ascii="Times New Roman" w:hAnsi="Times New Roman"/>
                <w:sz w:val="24"/>
                <w:szCs w:val="24"/>
              </w:rPr>
            </w:pPr>
            <w:r w:rsidRPr="00310C67">
              <w:rPr>
                <w:rFonts w:ascii="Times New Roman" w:hAnsi="Times New Roman"/>
                <w:noProof/>
                <w:sz w:val="24"/>
                <w:szCs w:val="24"/>
              </w:rPr>
              <w:t xml:space="preserve">Prescribes matters relating to the rules of origin that are required to be prescribed under Division 1H of the </w:t>
            </w:r>
            <w:r w:rsidRPr="005F5BED">
              <w:rPr>
                <w:rFonts w:ascii="Times New Roman" w:hAnsi="Times New Roman"/>
                <w:i/>
                <w:noProof/>
                <w:sz w:val="24"/>
                <w:szCs w:val="24"/>
              </w:rPr>
              <w:t>Customs Act 1901</w:t>
            </w:r>
            <w:r w:rsidRPr="00310C67">
              <w:rPr>
                <w:rFonts w:ascii="Times New Roman" w:hAnsi="Times New Roman"/>
                <w:noProof/>
                <w:sz w:val="24"/>
                <w:szCs w:val="24"/>
              </w:rPr>
              <w:t xml:space="preserve"> and which are required to fulfil, in part, Australia's obligations under Chapter 3 of the Malaysia-Australia Free </w:t>
            </w:r>
            <w:r>
              <w:rPr>
                <w:rFonts w:ascii="Times New Roman" w:hAnsi="Times New Roman"/>
                <w:noProof/>
                <w:sz w:val="24"/>
                <w:szCs w:val="24"/>
              </w:rPr>
              <w:t>Trade Agreement</w:t>
            </w:r>
          </w:p>
        </w:tc>
      </w:tr>
      <w:tr w:rsidR="001E0AC1" w:rsidRPr="00B54538" w:rsidTr="001E0AC1">
        <w:tc>
          <w:tcPr>
            <w:tcW w:w="2552" w:type="dxa"/>
          </w:tcPr>
          <w:p w:rsidR="001E0AC1" w:rsidRPr="003B6490" w:rsidRDefault="001E0AC1" w:rsidP="001E0AC1">
            <w:pPr>
              <w:pStyle w:val="letterheadbody"/>
              <w:spacing w:line="264" w:lineRule="auto"/>
              <w:ind w:left="0"/>
              <w:rPr>
                <w:rFonts w:ascii="Times New Roman" w:hAnsi="Times New Roman"/>
                <w:sz w:val="24"/>
                <w:szCs w:val="24"/>
              </w:rPr>
            </w:pPr>
            <w:r>
              <w:rPr>
                <w:rFonts w:ascii="Times New Roman" w:hAnsi="Times New Roman"/>
                <w:b/>
                <w:sz w:val="24"/>
                <w:szCs w:val="24"/>
              </w:rPr>
              <w:t>Last day to disallow</w:t>
            </w:r>
          </w:p>
        </w:tc>
        <w:tc>
          <w:tcPr>
            <w:tcW w:w="6520" w:type="dxa"/>
          </w:tcPr>
          <w:p w:rsidR="001E0AC1" w:rsidRPr="003B6490" w:rsidRDefault="001E0AC1" w:rsidP="001E0AC1">
            <w:pPr>
              <w:pStyle w:val="letterheadbody"/>
              <w:spacing w:line="264" w:lineRule="auto"/>
              <w:ind w:left="0"/>
              <w:rPr>
                <w:rFonts w:ascii="Times New Roman" w:hAnsi="Times New Roman"/>
                <w:sz w:val="24"/>
                <w:szCs w:val="24"/>
              </w:rPr>
            </w:pPr>
            <w:r>
              <w:rPr>
                <w:rFonts w:ascii="Times New Roman" w:hAnsi="Times New Roman"/>
                <w:sz w:val="24"/>
                <w:szCs w:val="24"/>
              </w:rPr>
              <w:t>15 May 2013</w:t>
            </w:r>
          </w:p>
        </w:tc>
      </w:tr>
      <w:tr w:rsidR="001E0AC1" w:rsidRPr="00B54538" w:rsidTr="001E0AC1">
        <w:tc>
          <w:tcPr>
            <w:tcW w:w="2552" w:type="dxa"/>
          </w:tcPr>
          <w:p w:rsidR="001E0AC1" w:rsidRPr="003B6490" w:rsidRDefault="001E0AC1" w:rsidP="001E0AC1">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Authorising legislation</w:t>
            </w:r>
          </w:p>
        </w:tc>
        <w:tc>
          <w:tcPr>
            <w:tcW w:w="6520" w:type="dxa"/>
          </w:tcPr>
          <w:p w:rsidR="001E0AC1" w:rsidRPr="00EA03A6" w:rsidRDefault="001E0AC1" w:rsidP="001E0AC1">
            <w:pPr>
              <w:pStyle w:val="letterheadbody"/>
              <w:spacing w:line="264" w:lineRule="auto"/>
              <w:ind w:left="0"/>
              <w:rPr>
                <w:rFonts w:ascii="Times New Roman" w:hAnsi="Times New Roman"/>
                <w:i/>
                <w:sz w:val="24"/>
                <w:szCs w:val="24"/>
              </w:rPr>
            </w:pPr>
            <w:r w:rsidRPr="00EA03A6">
              <w:rPr>
                <w:rFonts w:ascii="Times New Roman" w:hAnsi="Times New Roman"/>
                <w:i/>
                <w:noProof/>
                <w:sz w:val="24"/>
                <w:szCs w:val="24"/>
              </w:rPr>
              <w:t>Customs Act 1901</w:t>
            </w:r>
          </w:p>
        </w:tc>
      </w:tr>
      <w:tr w:rsidR="001E0AC1" w:rsidRPr="00B54538" w:rsidTr="001E0AC1">
        <w:tc>
          <w:tcPr>
            <w:tcW w:w="2552" w:type="dxa"/>
          </w:tcPr>
          <w:p w:rsidR="001E0AC1" w:rsidRPr="003B6490" w:rsidRDefault="001E0AC1" w:rsidP="001E0AC1">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Department</w:t>
            </w:r>
          </w:p>
        </w:tc>
        <w:tc>
          <w:tcPr>
            <w:tcW w:w="6520" w:type="dxa"/>
          </w:tcPr>
          <w:p w:rsidR="001E0AC1" w:rsidRPr="003B6490" w:rsidRDefault="001E0AC1" w:rsidP="001E0AC1">
            <w:pPr>
              <w:pStyle w:val="letterheadbody"/>
              <w:spacing w:line="264" w:lineRule="auto"/>
              <w:ind w:left="0"/>
              <w:rPr>
                <w:rFonts w:ascii="Times New Roman" w:hAnsi="Times New Roman"/>
                <w:sz w:val="24"/>
                <w:szCs w:val="24"/>
              </w:rPr>
            </w:pPr>
            <w:r w:rsidRPr="00310C67">
              <w:rPr>
                <w:rFonts w:ascii="Times New Roman" w:hAnsi="Times New Roman"/>
                <w:noProof/>
                <w:sz w:val="24"/>
                <w:szCs w:val="24"/>
              </w:rPr>
              <w:t>Attorney-General's</w:t>
            </w:r>
          </w:p>
        </w:tc>
      </w:tr>
    </w:tbl>
    <w:p w:rsidR="001E0AC1" w:rsidRPr="00B54538" w:rsidRDefault="001E0AC1" w:rsidP="001E0AC1">
      <w:pPr>
        <w:spacing w:after="0"/>
        <w:rPr>
          <w:szCs w:val="26"/>
        </w:rPr>
      </w:pPr>
    </w:p>
    <w:p w:rsidR="001E0AC1" w:rsidRDefault="001E0AC1" w:rsidP="001E0AC1">
      <w:pPr>
        <w:spacing w:after="0"/>
        <w:rPr>
          <w:b/>
          <w:szCs w:val="26"/>
        </w:rPr>
      </w:pPr>
      <w:r>
        <w:rPr>
          <w:b/>
          <w:szCs w:val="26"/>
        </w:rPr>
        <w:t>ISSUE:</w:t>
      </w:r>
    </w:p>
    <w:p w:rsidR="001E0AC1" w:rsidRPr="00B54538" w:rsidRDefault="001E0AC1" w:rsidP="001E0AC1">
      <w:pPr>
        <w:pStyle w:val="Heading4"/>
        <w:numPr>
          <w:ilvl w:val="3"/>
          <w:numId w:val="21"/>
        </w:numPr>
        <w:spacing w:before="120" w:after="120"/>
        <w:rPr>
          <w:noProof/>
        </w:rPr>
      </w:pPr>
      <w:r w:rsidRPr="00310C67">
        <w:rPr>
          <w:noProof/>
        </w:rPr>
        <w:t xml:space="preserve">Insufficient explanation </w:t>
      </w:r>
      <w:r>
        <w:rPr>
          <w:noProof/>
        </w:rPr>
        <w:t>regarding</w:t>
      </w:r>
      <w:r w:rsidRPr="00310C67">
        <w:rPr>
          <w:noProof/>
        </w:rPr>
        <w:t xml:space="preserve"> consultation</w:t>
      </w:r>
    </w:p>
    <w:p w:rsidR="001E0AC1" w:rsidRPr="00310C67" w:rsidRDefault="001E0AC1" w:rsidP="001E0AC1">
      <w:pPr>
        <w:pStyle w:val="Level1"/>
        <w:numPr>
          <w:ilvl w:val="0"/>
          <w:numId w:val="0"/>
        </w:numPr>
        <w:rPr>
          <w:noProof/>
        </w:rPr>
      </w:pPr>
      <w:r w:rsidRPr="00AE3138">
        <w:rPr>
          <w:noProof/>
          <w:szCs w:val="26"/>
        </w:rPr>
        <w:t xml:space="preserve">Section 17 of the </w:t>
      </w:r>
      <w:r w:rsidRPr="00AE3138">
        <w:rPr>
          <w:i/>
          <w:noProof/>
          <w:szCs w:val="26"/>
        </w:rPr>
        <w:t>Legislative Instruments Act 2003</w:t>
      </w:r>
      <w:r>
        <w:rPr>
          <w:i/>
          <w:noProof/>
          <w:szCs w:val="26"/>
        </w:rPr>
        <w:t xml:space="preserve"> </w:t>
      </w:r>
      <w:r w:rsidRPr="00AE3138">
        <w:rPr>
          <w:noProof/>
          <w:szCs w:val="26"/>
        </w:rPr>
        <w:t>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ES which must accompany an instrument is required to describe the nature of any consultation that has been carried out or, if there has been no consultation, to explain w</w:t>
      </w:r>
      <w:r>
        <w:rPr>
          <w:noProof/>
          <w:szCs w:val="26"/>
        </w:rPr>
        <w:t>hy none was undertaken (section </w:t>
      </w:r>
      <w:r w:rsidRPr="00AE3138">
        <w:rPr>
          <w:noProof/>
          <w:szCs w:val="26"/>
        </w:rPr>
        <w:t>26).</w:t>
      </w:r>
      <w:r>
        <w:rPr>
          <w:noProof/>
          <w:szCs w:val="26"/>
        </w:rPr>
        <w:t xml:space="preserve"> </w:t>
      </w:r>
      <w:r w:rsidRPr="00AE3138">
        <w:rPr>
          <w:noProof/>
          <w:szCs w:val="26"/>
        </w:rPr>
        <w:t xml:space="preserve">With reference to these requirements, the committee notes that the ES </w:t>
      </w:r>
      <w:r>
        <w:rPr>
          <w:noProof/>
          <w:szCs w:val="26"/>
        </w:rPr>
        <w:t xml:space="preserve">for </w:t>
      </w:r>
      <w:r w:rsidRPr="00AE3138">
        <w:rPr>
          <w:noProof/>
          <w:szCs w:val="26"/>
        </w:rPr>
        <w:t xml:space="preserve">the </w:t>
      </w:r>
      <w:r>
        <w:rPr>
          <w:noProof/>
          <w:szCs w:val="26"/>
        </w:rPr>
        <w:t>instrument</w:t>
      </w:r>
      <w:r w:rsidRPr="00310C67">
        <w:rPr>
          <w:noProof/>
        </w:rPr>
        <w:t xml:space="preserve"> </w:t>
      </w:r>
      <w:r>
        <w:rPr>
          <w:noProof/>
        </w:rPr>
        <w:t>states</w:t>
      </w:r>
      <w:r w:rsidRPr="00310C67">
        <w:rPr>
          <w:noProof/>
        </w:rPr>
        <w:t>:</w:t>
      </w:r>
    </w:p>
    <w:p w:rsidR="001E0AC1" w:rsidRPr="00310C67" w:rsidRDefault="001E0AC1" w:rsidP="001E0AC1">
      <w:pPr>
        <w:pStyle w:val="Quote"/>
        <w:spacing w:after="120"/>
        <w:rPr>
          <w:noProof/>
        </w:rPr>
      </w:pPr>
      <w:r w:rsidRPr="00310C67">
        <w:rPr>
          <w:noProof/>
        </w:rPr>
        <w:t>No particular consultation was undertaken with regard to this regulation; however, consultation regarding the Malaysia-Australia Free Trade Agreement was undertaken as part of the Joi</w:t>
      </w:r>
      <w:r>
        <w:rPr>
          <w:noProof/>
        </w:rPr>
        <w:t>nt Standing Committee on Treaty'</w:t>
      </w:r>
      <w:r w:rsidRPr="00310C67">
        <w:rPr>
          <w:noProof/>
        </w:rPr>
        <w:t xml:space="preserve">s [sic] </w:t>
      </w:r>
      <w:r>
        <w:rPr>
          <w:noProof/>
        </w:rPr>
        <w:t>consideration of the Agreement.</w:t>
      </w:r>
    </w:p>
    <w:p w:rsidR="001E0AC1" w:rsidRDefault="001E0AC1" w:rsidP="001E0AC1">
      <w:pPr>
        <w:rPr>
          <w:noProof/>
          <w:szCs w:val="26"/>
        </w:rPr>
      </w:pPr>
      <w:r w:rsidRPr="007F49E1">
        <w:rPr>
          <w:noProof/>
          <w:szCs w:val="26"/>
        </w:rPr>
        <w:t>It</w:t>
      </w:r>
      <w:r>
        <w:rPr>
          <w:noProof/>
          <w:szCs w:val="26"/>
        </w:rPr>
        <w:t xml:space="preserve"> is not clear to the committee how, of itself, the stated reason for not consulting in relation to the making of the instrument necessarily relates to a conclusion by the instrument maker that consultation was 'unnecessary' or 'inappropriate' (as provided for by section 18).</w:t>
      </w:r>
      <w:r w:rsidRPr="00134E6B">
        <w:rPr>
          <w:b/>
          <w:noProof/>
          <w:szCs w:val="26"/>
        </w:rPr>
        <w:t xml:space="preserve"> The committee </w:t>
      </w:r>
      <w:r>
        <w:rPr>
          <w:b/>
          <w:noProof/>
          <w:szCs w:val="26"/>
        </w:rPr>
        <w:t xml:space="preserve">will therefore </w:t>
      </w:r>
      <w:r w:rsidRPr="00134E6B">
        <w:rPr>
          <w:b/>
          <w:noProof/>
          <w:szCs w:val="26"/>
        </w:rPr>
        <w:t>seek further information from the minister</w:t>
      </w:r>
      <w:r w:rsidRPr="00310C67">
        <w:rPr>
          <w:noProof/>
          <w:szCs w:val="26"/>
        </w:rPr>
        <w:t>.</w:t>
      </w:r>
    </w:p>
    <w:p w:rsidR="001E0AC1" w:rsidRDefault="001E0AC1" w:rsidP="001E0AC1">
      <w:pPr>
        <w:spacing w:after="0"/>
        <w:jc w:val="left"/>
        <w:rPr>
          <w:b/>
          <w:noProof/>
          <w:sz w:val="28"/>
        </w:rPr>
      </w:pPr>
      <w:r>
        <w:rPr>
          <w:noProof/>
        </w:rPr>
        <w:br w:type="page"/>
      </w:r>
    </w:p>
    <w:p w:rsidR="001E0AC1" w:rsidRPr="00310C67" w:rsidRDefault="001E0AC1" w:rsidP="001E0AC1">
      <w:pPr>
        <w:pStyle w:val="Heading3"/>
        <w:rPr>
          <w:noProof/>
        </w:rPr>
      </w:pPr>
      <w:r w:rsidRPr="00310C67">
        <w:rPr>
          <w:noProof/>
        </w:rPr>
        <w:lastRenderedPageBreak/>
        <w:t>Financial Sector (Collection of Data) (reporting standard) determination No. 11 of 2012 - ARS 117.0 - Repricing Analysis</w:t>
      </w:r>
      <w:r>
        <w:rPr>
          <w:noProof/>
        </w:rPr>
        <w:t xml:space="preserve"> </w:t>
      </w:r>
      <w:r w:rsidRPr="000E6FB5">
        <w:t>[F2012L02490]</w:t>
      </w:r>
      <w:r w:rsidRPr="00310C67">
        <w:rPr>
          <w:noProof/>
        </w:rPr>
        <w:t>; and</w:t>
      </w:r>
    </w:p>
    <w:p w:rsidR="001E0AC1" w:rsidRPr="00B54538" w:rsidRDefault="001E0AC1" w:rsidP="001E0AC1">
      <w:pPr>
        <w:pStyle w:val="Heading3"/>
      </w:pPr>
      <w:r w:rsidRPr="00310C67">
        <w:rPr>
          <w:noProof/>
        </w:rPr>
        <w:t>Financial Sector (Collection of Data) (reporting standard) determination No. 12 of 2012 - ARS 120.0 - Standardised Approach – Securitisation</w:t>
      </w:r>
      <w:r>
        <w:rPr>
          <w:noProof/>
        </w:rPr>
        <w:t xml:space="preserve"> </w:t>
      </w:r>
      <w:r w:rsidRPr="000E6FB5">
        <w:t>[F2012L02489]</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1E0AC1" w:rsidRPr="00B54538" w:rsidTr="001E0AC1">
        <w:tc>
          <w:tcPr>
            <w:tcW w:w="2552" w:type="dxa"/>
          </w:tcPr>
          <w:p w:rsidR="001E0AC1" w:rsidRPr="003B6490" w:rsidRDefault="001E0AC1" w:rsidP="001E0AC1">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Purpose</w:t>
            </w:r>
          </w:p>
        </w:tc>
        <w:tc>
          <w:tcPr>
            <w:tcW w:w="6520" w:type="dxa"/>
          </w:tcPr>
          <w:p w:rsidR="001E0AC1" w:rsidRPr="003B6490" w:rsidRDefault="001E0AC1" w:rsidP="001E0AC1">
            <w:pPr>
              <w:pStyle w:val="letterheadbody"/>
              <w:spacing w:line="264" w:lineRule="auto"/>
              <w:ind w:left="0"/>
              <w:rPr>
                <w:rFonts w:ascii="Times New Roman" w:hAnsi="Times New Roman"/>
                <w:sz w:val="24"/>
                <w:szCs w:val="24"/>
              </w:rPr>
            </w:pPr>
            <w:r w:rsidRPr="00310C67">
              <w:rPr>
                <w:rFonts w:ascii="Times New Roman" w:hAnsi="Times New Roman"/>
                <w:noProof/>
                <w:sz w:val="24"/>
                <w:szCs w:val="24"/>
              </w:rPr>
              <w:t>The determinations specify certain prudential standards</w:t>
            </w:r>
          </w:p>
        </w:tc>
      </w:tr>
      <w:tr w:rsidR="001E0AC1" w:rsidRPr="00B54538" w:rsidTr="001E0AC1">
        <w:tc>
          <w:tcPr>
            <w:tcW w:w="2552" w:type="dxa"/>
          </w:tcPr>
          <w:p w:rsidR="001E0AC1" w:rsidRPr="003B6490" w:rsidRDefault="001E0AC1" w:rsidP="001E0AC1">
            <w:pPr>
              <w:pStyle w:val="letterheadbody"/>
              <w:spacing w:line="264" w:lineRule="auto"/>
              <w:ind w:left="0"/>
              <w:rPr>
                <w:rFonts w:ascii="Times New Roman" w:hAnsi="Times New Roman"/>
                <w:sz w:val="24"/>
                <w:szCs w:val="24"/>
              </w:rPr>
            </w:pPr>
            <w:r>
              <w:rPr>
                <w:rFonts w:ascii="Times New Roman" w:hAnsi="Times New Roman"/>
                <w:b/>
                <w:sz w:val="24"/>
                <w:szCs w:val="24"/>
              </w:rPr>
              <w:t>Last day to disallow</w:t>
            </w:r>
          </w:p>
        </w:tc>
        <w:tc>
          <w:tcPr>
            <w:tcW w:w="6520" w:type="dxa"/>
          </w:tcPr>
          <w:p w:rsidR="001E0AC1" w:rsidRPr="003B6490" w:rsidRDefault="001E0AC1" w:rsidP="001E0AC1">
            <w:pPr>
              <w:pStyle w:val="letterheadbody"/>
              <w:spacing w:line="264" w:lineRule="auto"/>
              <w:ind w:left="0"/>
              <w:rPr>
                <w:rFonts w:ascii="Times New Roman" w:hAnsi="Times New Roman"/>
                <w:sz w:val="24"/>
                <w:szCs w:val="24"/>
              </w:rPr>
            </w:pPr>
            <w:r>
              <w:rPr>
                <w:rFonts w:ascii="Times New Roman" w:hAnsi="Times New Roman"/>
                <w:sz w:val="24"/>
                <w:szCs w:val="24"/>
              </w:rPr>
              <w:t>15 May 2013</w:t>
            </w:r>
          </w:p>
        </w:tc>
      </w:tr>
      <w:tr w:rsidR="001E0AC1" w:rsidRPr="00B54538" w:rsidTr="001E0AC1">
        <w:tc>
          <w:tcPr>
            <w:tcW w:w="2552" w:type="dxa"/>
          </w:tcPr>
          <w:p w:rsidR="001E0AC1" w:rsidRPr="003B6490" w:rsidRDefault="001E0AC1" w:rsidP="001E0AC1">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Authorising legislation</w:t>
            </w:r>
          </w:p>
        </w:tc>
        <w:tc>
          <w:tcPr>
            <w:tcW w:w="6520" w:type="dxa"/>
          </w:tcPr>
          <w:p w:rsidR="001E0AC1" w:rsidRPr="00EA03A6" w:rsidRDefault="001E0AC1" w:rsidP="001E0AC1">
            <w:pPr>
              <w:pStyle w:val="letterheadbody"/>
              <w:spacing w:line="264" w:lineRule="auto"/>
              <w:ind w:left="0"/>
              <w:rPr>
                <w:rFonts w:ascii="Times New Roman" w:hAnsi="Times New Roman"/>
                <w:i/>
                <w:sz w:val="24"/>
                <w:szCs w:val="24"/>
              </w:rPr>
            </w:pPr>
            <w:r w:rsidRPr="00EA03A6">
              <w:rPr>
                <w:rFonts w:ascii="Times New Roman" w:hAnsi="Times New Roman"/>
                <w:i/>
                <w:noProof/>
                <w:sz w:val="24"/>
                <w:szCs w:val="24"/>
              </w:rPr>
              <w:t>Financial Sector (Collection of Data) Act 2001</w:t>
            </w:r>
          </w:p>
        </w:tc>
      </w:tr>
      <w:tr w:rsidR="001E0AC1" w:rsidRPr="00B54538" w:rsidTr="001E0AC1">
        <w:tc>
          <w:tcPr>
            <w:tcW w:w="2552" w:type="dxa"/>
          </w:tcPr>
          <w:p w:rsidR="001E0AC1" w:rsidRPr="003B6490" w:rsidRDefault="001E0AC1" w:rsidP="001E0AC1">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Department</w:t>
            </w:r>
          </w:p>
        </w:tc>
        <w:tc>
          <w:tcPr>
            <w:tcW w:w="6520" w:type="dxa"/>
          </w:tcPr>
          <w:p w:rsidR="001E0AC1" w:rsidRPr="003B6490" w:rsidRDefault="001E0AC1" w:rsidP="001E0AC1">
            <w:pPr>
              <w:pStyle w:val="letterheadbody"/>
              <w:spacing w:line="264" w:lineRule="auto"/>
              <w:ind w:left="0"/>
              <w:rPr>
                <w:rFonts w:ascii="Times New Roman" w:hAnsi="Times New Roman"/>
                <w:sz w:val="24"/>
                <w:szCs w:val="24"/>
              </w:rPr>
            </w:pPr>
            <w:r w:rsidRPr="00310C67">
              <w:rPr>
                <w:rFonts w:ascii="Times New Roman" w:hAnsi="Times New Roman"/>
                <w:noProof/>
                <w:sz w:val="24"/>
                <w:szCs w:val="24"/>
              </w:rPr>
              <w:t>Treasury</w:t>
            </w:r>
          </w:p>
        </w:tc>
      </w:tr>
    </w:tbl>
    <w:p w:rsidR="001E0AC1" w:rsidRPr="00B54538" w:rsidRDefault="001E0AC1" w:rsidP="001E0AC1">
      <w:pPr>
        <w:spacing w:after="0"/>
        <w:rPr>
          <w:szCs w:val="26"/>
        </w:rPr>
      </w:pPr>
    </w:p>
    <w:p w:rsidR="001E0AC1" w:rsidRDefault="001E0AC1" w:rsidP="001E0AC1">
      <w:pPr>
        <w:spacing w:after="0"/>
        <w:rPr>
          <w:b/>
          <w:szCs w:val="26"/>
        </w:rPr>
      </w:pPr>
      <w:r>
        <w:rPr>
          <w:b/>
          <w:szCs w:val="26"/>
        </w:rPr>
        <w:t>ISSUE:</w:t>
      </w:r>
    </w:p>
    <w:p w:rsidR="001E0AC1" w:rsidRPr="00B54538" w:rsidRDefault="001E0AC1" w:rsidP="001E0AC1">
      <w:pPr>
        <w:pStyle w:val="Heading4"/>
        <w:numPr>
          <w:ilvl w:val="3"/>
          <w:numId w:val="21"/>
        </w:numPr>
        <w:spacing w:before="120" w:after="120"/>
        <w:rPr>
          <w:noProof/>
        </w:rPr>
      </w:pPr>
      <w:r w:rsidRPr="00310C67">
        <w:rPr>
          <w:noProof/>
        </w:rPr>
        <w:t>Drafting</w:t>
      </w:r>
    </w:p>
    <w:p w:rsidR="001E0AC1" w:rsidRPr="00310C67" w:rsidRDefault="001E0AC1" w:rsidP="001E0AC1">
      <w:pPr>
        <w:rPr>
          <w:noProof/>
          <w:szCs w:val="26"/>
        </w:rPr>
      </w:pPr>
      <w:r w:rsidRPr="00310C67">
        <w:rPr>
          <w:noProof/>
          <w:szCs w:val="26"/>
        </w:rPr>
        <w:t xml:space="preserve">Paragraph 16 of the schedule to </w:t>
      </w:r>
      <w:r>
        <w:rPr>
          <w:noProof/>
          <w:szCs w:val="26"/>
        </w:rPr>
        <w:t xml:space="preserve">both </w:t>
      </w:r>
      <w:r w:rsidRPr="00310C67">
        <w:rPr>
          <w:noProof/>
          <w:szCs w:val="26"/>
        </w:rPr>
        <w:t>instruments sets out various definitions, including the following definition:</w:t>
      </w:r>
    </w:p>
    <w:p w:rsidR="001E0AC1" w:rsidRPr="00310C67" w:rsidRDefault="001E0AC1" w:rsidP="001E0AC1">
      <w:pPr>
        <w:pStyle w:val="Quote"/>
        <w:rPr>
          <w:noProof/>
        </w:rPr>
      </w:pPr>
      <w:r w:rsidRPr="00310C67">
        <w:rPr>
          <w:noProof/>
        </w:rPr>
        <w:t>branch of a foreign bank me</w:t>
      </w:r>
      <w:r>
        <w:rPr>
          <w:noProof/>
        </w:rPr>
        <w:t>ans a '</w:t>
      </w:r>
      <w:r w:rsidRPr="00310C67">
        <w:rPr>
          <w:noProof/>
        </w:rPr>
        <w:t>foreign ADI</w:t>
      </w:r>
      <w:r>
        <w:rPr>
          <w:noProof/>
        </w:rPr>
        <w:t>'</w:t>
      </w:r>
      <w:r w:rsidRPr="00310C67">
        <w:rPr>
          <w:noProof/>
        </w:rPr>
        <w:t xml:space="preserve"> as defined in the </w:t>
      </w:r>
      <w:r w:rsidRPr="001A3811">
        <w:rPr>
          <w:i/>
          <w:noProof/>
        </w:rPr>
        <w:t>Banking Act 1959</w:t>
      </w:r>
      <w:r w:rsidRPr="00310C67">
        <w:rPr>
          <w:noProof/>
        </w:rPr>
        <w:t>, but does not include an SCCI that is a foreign ADI.</w:t>
      </w:r>
    </w:p>
    <w:p w:rsidR="001E0AC1" w:rsidRDefault="001E0AC1" w:rsidP="001E0AC1">
      <w:pPr>
        <w:rPr>
          <w:noProof/>
          <w:szCs w:val="26"/>
        </w:rPr>
      </w:pPr>
      <w:r>
        <w:rPr>
          <w:noProof/>
          <w:szCs w:val="26"/>
        </w:rPr>
        <w:t>'</w:t>
      </w:r>
      <w:r w:rsidRPr="00310C67">
        <w:rPr>
          <w:noProof/>
          <w:szCs w:val="26"/>
        </w:rPr>
        <w:t>SCCI</w:t>
      </w:r>
      <w:r>
        <w:rPr>
          <w:noProof/>
          <w:szCs w:val="26"/>
        </w:rPr>
        <w:t>'</w:t>
      </w:r>
      <w:r w:rsidRPr="00310C67">
        <w:rPr>
          <w:noProof/>
          <w:szCs w:val="26"/>
        </w:rPr>
        <w:t xml:space="preserve"> is (in effect) defined in the table in paragraph 3 of the instruments </w:t>
      </w:r>
      <w:r>
        <w:rPr>
          <w:noProof/>
          <w:szCs w:val="26"/>
        </w:rPr>
        <w:t>(</w:t>
      </w:r>
      <w:r w:rsidRPr="00310C67">
        <w:rPr>
          <w:noProof/>
          <w:szCs w:val="26"/>
        </w:rPr>
        <w:t>Specialist Credit Card Institution</w:t>
      </w:r>
      <w:r>
        <w:rPr>
          <w:noProof/>
          <w:szCs w:val="26"/>
        </w:rPr>
        <w:t>)</w:t>
      </w:r>
      <w:r w:rsidRPr="00310C67">
        <w:rPr>
          <w:noProof/>
          <w:szCs w:val="26"/>
        </w:rPr>
        <w:t xml:space="preserve">. </w:t>
      </w:r>
      <w:r>
        <w:rPr>
          <w:noProof/>
          <w:szCs w:val="26"/>
        </w:rPr>
        <w:t xml:space="preserve">The committee considers that a </w:t>
      </w:r>
      <w:r w:rsidRPr="00310C67">
        <w:rPr>
          <w:noProof/>
          <w:szCs w:val="26"/>
        </w:rPr>
        <w:t xml:space="preserve">reader of the instrument </w:t>
      </w:r>
      <w:r>
        <w:rPr>
          <w:noProof/>
          <w:szCs w:val="26"/>
        </w:rPr>
        <w:t xml:space="preserve">would be assisted </w:t>
      </w:r>
      <w:r w:rsidRPr="00310C67">
        <w:rPr>
          <w:noProof/>
          <w:szCs w:val="26"/>
        </w:rPr>
        <w:t xml:space="preserve">if </w:t>
      </w:r>
      <w:r>
        <w:rPr>
          <w:noProof/>
          <w:szCs w:val="26"/>
        </w:rPr>
        <w:t>the acronym '</w:t>
      </w:r>
      <w:r w:rsidRPr="00310C67">
        <w:rPr>
          <w:noProof/>
          <w:szCs w:val="26"/>
        </w:rPr>
        <w:t>SCCI</w:t>
      </w:r>
      <w:r>
        <w:rPr>
          <w:noProof/>
          <w:szCs w:val="26"/>
        </w:rPr>
        <w:t>'</w:t>
      </w:r>
      <w:r w:rsidRPr="00310C67">
        <w:rPr>
          <w:noProof/>
          <w:szCs w:val="26"/>
        </w:rPr>
        <w:t xml:space="preserve"> was </w:t>
      </w:r>
      <w:r>
        <w:rPr>
          <w:noProof/>
          <w:szCs w:val="26"/>
        </w:rPr>
        <w:t xml:space="preserve">included </w:t>
      </w:r>
      <w:r w:rsidRPr="00310C67">
        <w:rPr>
          <w:noProof/>
          <w:szCs w:val="26"/>
        </w:rPr>
        <w:t xml:space="preserve">in the definitions paragraph </w:t>
      </w:r>
      <w:r>
        <w:rPr>
          <w:noProof/>
          <w:szCs w:val="26"/>
        </w:rPr>
        <w:t>(</w:t>
      </w:r>
      <w:r w:rsidRPr="00310C67">
        <w:rPr>
          <w:noProof/>
          <w:szCs w:val="26"/>
        </w:rPr>
        <w:t xml:space="preserve">as is </w:t>
      </w:r>
      <w:r>
        <w:rPr>
          <w:noProof/>
          <w:szCs w:val="26"/>
        </w:rPr>
        <w:t>'</w:t>
      </w:r>
      <w:r w:rsidRPr="00310C67">
        <w:rPr>
          <w:noProof/>
          <w:szCs w:val="26"/>
        </w:rPr>
        <w:t>ADI</w:t>
      </w:r>
      <w:r>
        <w:rPr>
          <w:noProof/>
          <w:szCs w:val="26"/>
        </w:rPr>
        <w:t>',</w:t>
      </w:r>
      <w:r w:rsidRPr="00310C67">
        <w:rPr>
          <w:noProof/>
          <w:szCs w:val="26"/>
        </w:rPr>
        <w:t xml:space="preserve"> for example). </w:t>
      </w:r>
      <w:r w:rsidRPr="0005499E">
        <w:rPr>
          <w:noProof/>
        </w:rPr>
        <w:t xml:space="preserve">The committee generally raises such matters on an advice-only basis in the interests of ensuring the highest quality of standards of drafting in legislative instruments in accordance with subsection 3(c) of the </w:t>
      </w:r>
      <w:r>
        <w:rPr>
          <w:i/>
          <w:noProof/>
        </w:rPr>
        <w:t>Legislative Instruments Act 2003</w:t>
      </w:r>
      <w:r w:rsidRPr="0005499E">
        <w:rPr>
          <w:noProof/>
        </w:rPr>
        <w:t xml:space="preserve">, which states that </w:t>
      </w:r>
      <w:r>
        <w:rPr>
          <w:noProof/>
        </w:rPr>
        <w:t xml:space="preserve">one of its </w:t>
      </w:r>
      <w:r w:rsidRPr="0005499E">
        <w:rPr>
          <w:noProof/>
        </w:rPr>
        <w:t>object</w:t>
      </w:r>
      <w:r>
        <w:rPr>
          <w:noProof/>
        </w:rPr>
        <w:t>s</w:t>
      </w:r>
      <w:r w:rsidRPr="0005499E">
        <w:rPr>
          <w:noProof/>
        </w:rPr>
        <w:t xml:space="preserve"> is 'encouraging high standards in the drafting of legislative instruments to promote their legal effectiveness, their clarity and their intelligibility to anticipated users'.</w:t>
      </w:r>
      <w:r>
        <w:rPr>
          <w:noProof/>
        </w:rPr>
        <w:t xml:space="preserve"> </w:t>
      </w:r>
      <w:r w:rsidRPr="001A3811">
        <w:rPr>
          <w:b/>
          <w:noProof/>
          <w:szCs w:val="26"/>
        </w:rPr>
        <w:t xml:space="preserve">The committee will therefore draw </w:t>
      </w:r>
      <w:r>
        <w:rPr>
          <w:b/>
          <w:noProof/>
          <w:szCs w:val="26"/>
        </w:rPr>
        <w:t xml:space="preserve">this issue to </w:t>
      </w:r>
      <w:r w:rsidRPr="001A3811">
        <w:rPr>
          <w:b/>
          <w:noProof/>
          <w:szCs w:val="26"/>
        </w:rPr>
        <w:t>the minister's attention</w:t>
      </w:r>
      <w:r>
        <w:rPr>
          <w:noProof/>
          <w:szCs w:val="26"/>
        </w:rPr>
        <w:t>.</w:t>
      </w:r>
    </w:p>
    <w:p w:rsidR="001E0AC1" w:rsidRDefault="001E0AC1" w:rsidP="001E0AC1">
      <w:pPr>
        <w:spacing w:after="0"/>
        <w:jc w:val="left"/>
        <w:rPr>
          <w:b/>
          <w:noProof/>
          <w:sz w:val="28"/>
        </w:rPr>
      </w:pPr>
      <w:r>
        <w:rPr>
          <w:noProof/>
        </w:rPr>
        <w:br w:type="page"/>
      </w:r>
    </w:p>
    <w:p w:rsidR="001E0AC1" w:rsidRPr="00B54538" w:rsidRDefault="001E0AC1" w:rsidP="009F02ED">
      <w:pPr>
        <w:pStyle w:val="Heading3"/>
      </w:pPr>
      <w:r w:rsidRPr="00310C67">
        <w:rPr>
          <w:noProof/>
        </w:rPr>
        <w:lastRenderedPageBreak/>
        <w:t>Nuclear Non-Proliferation (Safeguards)</w:t>
      </w:r>
      <w:r>
        <w:rPr>
          <w:noProof/>
        </w:rPr>
        <w:t xml:space="preserve"> Amendment Regulation 2012 (No. </w:t>
      </w:r>
      <w:r w:rsidRPr="00310C67">
        <w:rPr>
          <w:noProof/>
        </w:rPr>
        <w:t>1) [Select Legislative Instrument 2012 No. 292]</w:t>
      </w:r>
      <w:r>
        <w:rPr>
          <w:noProof/>
        </w:rPr>
        <w:t xml:space="preserve"> </w:t>
      </w:r>
      <w:r w:rsidRPr="000E6FB5">
        <w:t>[F2012L02423]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1E0AC1" w:rsidRPr="00B54538" w:rsidTr="001E0AC1">
        <w:tc>
          <w:tcPr>
            <w:tcW w:w="2552" w:type="dxa"/>
          </w:tcPr>
          <w:p w:rsidR="001E0AC1" w:rsidRPr="003B6490" w:rsidRDefault="001E0AC1" w:rsidP="001E0AC1">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Purpose</w:t>
            </w:r>
          </w:p>
        </w:tc>
        <w:tc>
          <w:tcPr>
            <w:tcW w:w="6520" w:type="dxa"/>
          </w:tcPr>
          <w:p w:rsidR="001E0AC1" w:rsidRPr="003B6490" w:rsidRDefault="001E0AC1" w:rsidP="001E0AC1">
            <w:pPr>
              <w:pStyle w:val="letterheadbody"/>
              <w:spacing w:line="264" w:lineRule="auto"/>
              <w:ind w:left="0"/>
              <w:rPr>
                <w:rFonts w:ascii="Times New Roman" w:hAnsi="Times New Roman"/>
                <w:sz w:val="24"/>
                <w:szCs w:val="24"/>
              </w:rPr>
            </w:pPr>
            <w:r w:rsidRPr="00310C67">
              <w:rPr>
                <w:rFonts w:ascii="Times New Roman" w:hAnsi="Times New Roman"/>
                <w:noProof/>
                <w:sz w:val="24"/>
                <w:szCs w:val="24"/>
              </w:rPr>
              <w:t xml:space="preserve">Amends the Nuclear Non-Proliferation (Safeguards) Regulations 1987 to update the list of prescribed international agreements in accordance with which powers under the </w:t>
            </w:r>
            <w:r w:rsidRPr="0078038F">
              <w:rPr>
                <w:rFonts w:ascii="Times New Roman" w:hAnsi="Times New Roman"/>
                <w:i/>
                <w:noProof/>
                <w:sz w:val="24"/>
                <w:szCs w:val="24"/>
              </w:rPr>
              <w:t>Nuclear Non-Proliferation (Safeguards) Act 1987</w:t>
            </w:r>
            <w:r w:rsidRPr="00310C67">
              <w:rPr>
                <w:rFonts w:ascii="Times New Roman" w:hAnsi="Times New Roman"/>
                <w:noProof/>
                <w:sz w:val="24"/>
                <w:szCs w:val="24"/>
              </w:rPr>
              <w:t xml:space="preserve"> are to be exercised</w:t>
            </w:r>
          </w:p>
        </w:tc>
      </w:tr>
      <w:tr w:rsidR="001E0AC1" w:rsidRPr="00B54538" w:rsidTr="001E0AC1">
        <w:tc>
          <w:tcPr>
            <w:tcW w:w="2552" w:type="dxa"/>
          </w:tcPr>
          <w:p w:rsidR="001E0AC1" w:rsidRPr="003B6490" w:rsidRDefault="001E0AC1" w:rsidP="001E0AC1">
            <w:pPr>
              <w:pStyle w:val="letterheadbody"/>
              <w:spacing w:line="264" w:lineRule="auto"/>
              <w:ind w:left="0"/>
              <w:rPr>
                <w:rFonts w:ascii="Times New Roman" w:hAnsi="Times New Roman"/>
                <w:sz w:val="24"/>
                <w:szCs w:val="24"/>
              </w:rPr>
            </w:pPr>
            <w:r>
              <w:rPr>
                <w:rFonts w:ascii="Times New Roman" w:hAnsi="Times New Roman"/>
                <w:b/>
                <w:sz w:val="24"/>
                <w:szCs w:val="24"/>
              </w:rPr>
              <w:t>Last day to disallow</w:t>
            </w:r>
          </w:p>
        </w:tc>
        <w:tc>
          <w:tcPr>
            <w:tcW w:w="6520" w:type="dxa"/>
          </w:tcPr>
          <w:p w:rsidR="001E0AC1" w:rsidRPr="003B6490" w:rsidRDefault="001E0AC1" w:rsidP="001E0AC1">
            <w:pPr>
              <w:pStyle w:val="letterheadbody"/>
              <w:spacing w:line="264" w:lineRule="auto"/>
              <w:ind w:left="0"/>
              <w:rPr>
                <w:rFonts w:ascii="Times New Roman" w:hAnsi="Times New Roman"/>
                <w:sz w:val="24"/>
                <w:szCs w:val="24"/>
              </w:rPr>
            </w:pPr>
            <w:r>
              <w:rPr>
                <w:rFonts w:ascii="Times New Roman" w:hAnsi="Times New Roman"/>
                <w:sz w:val="24"/>
                <w:szCs w:val="24"/>
              </w:rPr>
              <w:t>15 May 2013</w:t>
            </w:r>
          </w:p>
        </w:tc>
      </w:tr>
      <w:tr w:rsidR="001E0AC1" w:rsidRPr="00B54538" w:rsidTr="001E0AC1">
        <w:tc>
          <w:tcPr>
            <w:tcW w:w="2552" w:type="dxa"/>
          </w:tcPr>
          <w:p w:rsidR="001E0AC1" w:rsidRPr="003B6490" w:rsidRDefault="001E0AC1" w:rsidP="001E0AC1">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Authorising legislation</w:t>
            </w:r>
          </w:p>
        </w:tc>
        <w:tc>
          <w:tcPr>
            <w:tcW w:w="6520" w:type="dxa"/>
          </w:tcPr>
          <w:p w:rsidR="001E0AC1" w:rsidRPr="00A4745B" w:rsidRDefault="001E0AC1" w:rsidP="001E0AC1">
            <w:pPr>
              <w:pStyle w:val="letterheadbody"/>
              <w:spacing w:line="264" w:lineRule="auto"/>
              <w:ind w:left="0"/>
              <w:rPr>
                <w:rFonts w:ascii="Times New Roman" w:hAnsi="Times New Roman"/>
                <w:i/>
                <w:sz w:val="24"/>
                <w:szCs w:val="24"/>
              </w:rPr>
            </w:pPr>
            <w:r w:rsidRPr="00A4745B">
              <w:rPr>
                <w:rFonts w:ascii="Times New Roman" w:hAnsi="Times New Roman"/>
                <w:i/>
                <w:noProof/>
                <w:sz w:val="24"/>
                <w:szCs w:val="24"/>
              </w:rPr>
              <w:t>Nuclear Non-Proliferation (Safeguards) Act 1987</w:t>
            </w:r>
          </w:p>
        </w:tc>
      </w:tr>
      <w:tr w:rsidR="001E0AC1" w:rsidRPr="00B54538" w:rsidTr="001E0AC1">
        <w:tc>
          <w:tcPr>
            <w:tcW w:w="2552" w:type="dxa"/>
          </w:tcPr>
          <w:p w:rsidR="001E0AC1" w:rsidRPr="003B6490" w:rsidRDefault="001E0AC1" w:rsidP="001E0AC1">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Department</w:t>
            </w:r>
          </w:p>
        </w:tc>
        <w:tc>
          <w:tcPr>
            <w:tcW w:w="6520" w:type="dxa"/>
          </w:tcPr>
          <w:p w:rsidR="001E0AC1" w:rsidRPr="003B6490" w:rsidRDefault="001E0AC1" w:rsidP="001E0AC1">
            <w:pPr>
              <w:pStyle w:val="letterheadbody"/>
              <w:spacing w:line="264" w:lineRule="auto"/>
              <w:ind w:left="0"/>
              <w:rPr>
                <w:rFonts w:ascii="Times New Roman" w:hAnsi="Times New Roman"/>
                <w:sz w:val="24"/>
                <w:szCs w:val="24"/>
              </w:rPr>
            </w:pPr>
            <w:r w:rsidRPr="00310C67">
              <w:rPr>
                <w:rFonts w:ascii="Times New Roman" w:hAnsi="Times New Roman"/>
                <w:noProof/>
                <w:sz w:val="24"/>
                <w:szCs w:val="24"/>
              </w:rPr>
              <w:t>Foreign Affairs and Trade</w:t>
            </w:r>
          </w:p>
        </w:tc>
      </w:tr>
    </w:tbl>
    <w:p w:rsidR="001E0AC1" w:rsidRPr="00B54538" w:rsidRDefault="001E0AC1" w:rsidP="001E0AC1">
      <w:pPr>
        <w:spacing w:after="0"/>
        <w:rPr>
          <w:szCs w:val="26"/>
        </w:rPr>
      </w:pPr>
    </w:p>
    <w:p w:rsidR="001E0AC1" w:rsidRDefault="001E0AC1" w:rsidP="001E0AC1">
      <w:pPr>
        <w:spacing w:after="0"/>
        <w:rPr>
          <w:b/>
          <w:szCs w:val="26"/>
        </w:rPr>
      </w:pPr>
      <w:r>
        <w:rPr>
          <w:b/>
          <w:szCs w:val="26"/>
        </w:rPr>
        <w:t>ISSUE:</w:t>
      </w:r>
    </w:p>
    <w:p w:rsidR="001E0AC1" w:rsidRPr="00B54538" w:rsidRDefault="001E0AC1" w:rsidP="001E0AC1">
      <w:pPr>
        <w:pStyle w:val="Heading4"/>
        <w:numPr>
          <w:ilvl w:val="3"/>
          <w:numId w:val="21"/>
        </w:numPr>
        <w:spacing w:before="120" w:after="120"/>
        <w:rPr>
          <w:noProof/>
        </w:rPr>
      </w:pPr>
      <w:r w:rsidRPr="00310C67">
        <w:rPr>
          <w:noProof/>
        </w:rPr>
        <w:t xml:space="preserve">No explanation provided </w:t>
      </w:r>
      <w:r>
        <w:rPr>
          <w:noProof/>
        </w:rPr>
        <w:t xml:space="preserve">regarding </w:t>
      </w:r>
      <w:r w:rsidRPr="00310C67">
        <w:rPr>
          <w:noProof/>
        </w:rPr>
        <w:t>consultation</w:t>
      </w:r>
    </w:p>
    <w:p w:rsidR="001E0AC1" w:rsidRDefault="001E0AC1" w:rsidP="001E0AC1">
      <w:pPr>
        <w:rPr>
          <w:noProof/>
          <w:szCs w:val="26"/>
        </w:rPr>
      </w:pPr>
      <w:r w:rsidRPr="00AE3138">
        <w:rPr>
          <w:noProof/>
          <w:szCs w:val="26"/>
        </w:rPr>
        <w:t xml:space="preserve">Section 17 of the </w:t>
      </w:r>
      <w:r w:rsidRPr="00AE3138">
        <w:rPr>
          <w:i/>
          <w:noProof/>
          <w:szCs w:val="26"/>
        </w:rPr>
        <w:t>Legislative Instruments Act 2003</w:t>
      </w:r>
      <w:r>
        <w:rPr>
          <w:i/>
          <w:noProof/>
          <w:szCs w:val="26"/>
        </w:rPr>
        <w:t xml:space="preserve"> </w:t>
      </w:r>
      <w:r w:rsidRPr="00AE3138">
        <w:rPr>
          <w:noProof/>
          <w:szCs w:val="26"/>
        </w:rPr>
        <w:t>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ES which must accompany an instrument is required to describe the nature of any consultation that has been carried out or, if there has been no consultation, to explain w</w:t>
      </w:r>
      <w:r>
        <w:rPr>
          <w:noProof/>
          <w:szCs w:val="26"/>
        </w:rPr>
        <w:t>hy none was undertaken (section </w:t>
      </w:r>
      <w:r w:rsidRPr="00AE3138">
        <w:rPr>
          <w:noProof/>
          <w:szCs w:val="26"/>
        </w:rPr>
        <w:t>26).</w:t>
      </w:r>
      <w:r>
        <w:rPr>
          <w:noProof/>
          <w:szCs w:val="26"/>
        </w:rPr>
        <w:t xml:space="preserve"> </w:t>
      </w:r>
      <w:r w:rsidRPr="00AE3138">
        <w:rPr>
          <w:noProof/>
          <w:szCs w:val="26"/>
        </w:rPr>
        <w:t xml:space="preserve">With reference to these requirements, the committee notes that the ES </w:t>
      </w:r>
      <w:r>
        <w:rPr>
          <w:noProof/>
          <w:szCs w:val="26"/>
        </w:rPr>
        <w:t xml:space="preserve">for </w:t>
      </w:r>
      <w:r w:rsidRPr="00AE3138">
        <w:rPr>
          <w:noProof/>
          <w:szCs w:val="26"/>
        </w:rPr>
        <w:t xml:space="preserve">the </w:t>
      </w:r>
      <w:r>
        <w:rPr>
          <w:noProof/>
          <w:szCs w:val="26"/>
        </w:rPr>
        <w:t xml:space="preserve">instrument contains no reference to consultation. </w:t>
      </w:r>
      <w:r w:rsidRPr="00940F8E">
        <w:rPr>
          <w:b/>
          <w:noProof/>
        </w:rPr>
        <w:t xml:space="preserve">The committee will </w:t>
      </w:r>
      <w:r>
        <w:rPr>
          <w:b/>
          <w:noProof/>
        </w:rPr>
        <w:t xml:space="preserve">therefore </w:t>
      </w:r>
      <w:r w:rsidRPr="00940F8E">
        <w:rPr>
          <w:b/>
          <w:noProof/>
        </w:rPr>
        <w:t xml:space="preserve">seek </w:t>
      </w:r>
      <w:r>
        <w:rPr>
          <w:b/>
          <w:noProof/>
        </w:rPr>
        <w:t>further information</w:t>
      </w:r>
      <w:r w:rsidRPr="00940F8E">
        <w:rPr>
          <w:b/>
          <w:noProof/>
        </w:rPr>
        <w:t xml:space="preserve"> from the minister and request that the ES be updated in accordance with the requirements of the </w:t>
      </w:r>
      <w:r w:rsidRPr="00E2599D">
        <w:rPr>
          <w:b/>
          <w:i/>
          <w:noProof/>
        </w:rPr>
        <w:t>Legislative Instruments Act 2003</w:t>
      </w:r>
      <w:r>
        <w:rPr>
          <w:noProof/>
        </w:rPr>
        <w:t>.</w:t>
      </w:r>
    </w:p>
    <w:p w:rsidR="001E0AC1" w:rsidRPr="00B54538" w:rsidRDefault="001E0AC1" w:rsidP="009F02ED">
      <w:pPr>
        <w:pStyle w:val="Heading3"/>
        <w:spacing w:before="240"/>
      </w:pPr>
      <w:r w:rsidRPr="00310C67">
        <w:rPr>
          <w:noProof/>
        </w:rPr>
        <w:t>Work Health and Safety Act 2011 (application to Defence activities and Defence members) Declaration 2012</w:t>
      </w:r>
      <w:r>
        <w:rPr>
          <w:noProof/>
        </w:rPr>
        <w:t xml:space="preserve"> </w:t>
      </w:r>
      <w:r w:rsidRPr="000E6FB5">
        <w:t>[F2012L02503]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1E0AC1" w:rsidRPr="00B54538" w:rsidTr="001E0AC1">
        <w:tc>
          <w:tcPr>
            <w:tcW w:w="2552" w:type="dxa"/>
          </w:tcPr>
          <w:p w:rsidR="001E0AC1" w:rsidRPr="003B6490" w:rsidRDefault="001E0AC1" w:rsidP="001E0AC1">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Purpose</w:t>
            </w:r>
          </w:p>
        </w:tc>
        <w:tc>
          <w:tcPr>
            <w:tcW w:w="6520" w:type="dxa"/>
          </w:tcPr>
          <w:p w:rsidR="001E0AC1" w:rsidRPr="003B6490" w:rsidRDefault="001E0AC1" w:rsidP="001E0AC1">
            <w:pPr>
              <w:pStyle w:val="letterheadbody"/>
              <w:spacing w:line="264" w:lineRule="auto"/>
              <w:ind w:left="0"/>
              <w:rPr>
                <w:rFonts w:ascii="Times New Roman" w:hAnsi="Times New Roman"/>
                <w:sz w:val="24"/>
                <w:szCs w:val="24"/>
              </w:rPr>
            </w:pPr>
            <w:r w:rsidRPr="00310C67">
              <w:rPr>
                <w:rFonts w:ascii="Times New Roman" w:hAnsi="Times New Roman"/>
                <w:noProof/>
                <w:sz w:val="24"/>
                <w:szCs w:val="24"/>
              </w:rPr>
              <w:t xml:space="preserve">Declares that specified provisions of the </w:t>
            </w:r>
            <w:r w:rsidRPr="00982703">
              <w:rPr>
                <w:rFonts w:ascii="Times New Roman" w:hAnsi="Times New Roman"/>
                <w:i/>
                <w:noProof/>
                <w:sz w:val="24"/>
                <w:szCs w:val="24"/>
              </w:rPr>
              <w:t>Work Health and Safety Act 2011</w:t>
            </w:r>
            <w:r w:rsidRPr="00310C67">
              <w:rPr>
                <w:rFonts w:ascii="Times New Roman" w:hAnsi="Times New Roman"/>
                <w:noProof/>
                <w:sz w:val="24"/>
                <w:szCs w:val="24"/>
              </w:rPr>
              <w:t xml:space="preserve"> do not apply, or apply subject to such modifications and adaptations as are set out in th</w:t>
            </w:r>
            <w:r>
              <w:rPr>
                <w:rFonts w:ascii="Times New Roman" w:hAnsi="Times New Roman"/>
                <w:noProof/>
                <w:sz w:val="24"/>
                <w:szCs w:val="24"/>
              </w:rPr>
              <w:t>e</w:t>
            </w:r>
            <w:r w:rsidRPr="00310C67">
              <w:rPr>
                <w:rFonts w:ascii="Times New Roman" w:hAnsi="Times New Roman"/>
                <w:noProof/>
                <w:sz w:val="24"/>
                <w:szCs w:val="24"/>
              </w:rPr>
              <w:t xml:space="preserve"> declaration, in relation to specified Defence activities and A</w:t>
            </w:r>
            <w:r>
              <w:rPr>
                <w:rFonts w:ascii="Times New Roman" w:hAnsi="Times New Roman"/>
                <w:noProof/>
                <w:sz w:val="24"/>
                <w:szCs w:val="24"/>
              </w:rPr>
              <w:t>ustralian Defence Force members</w:t>
            </w:r>
          </w:p>
        </w:tc>
      </w:tr>
      <w:tr w:rsidR="001E0AC1" w:rsidRPr="00B54538" w:rsidTr="001E0AC1">
        <w:tc>
          <w:tcPr>
            <w:tcW w:w="2552" w:type="dxa"/>
          </w:tcPr>
          <w:p w:rsidR="001E0AC1" w:rsidRPr="003B6490" w:rsidRDefault="001E0AC1" w:rsidP="001E0AC1">
            <w:pPr>
              <w:pStyle w:val="letterheadbody"/>
              <w:spacing w:line="264" w:lineRule="auto"/>
              <w:ind w:left="0"/>
              <w:rPr>
                <w:rFonts w:ascii="Times New Roman" w:hAnsi="Times New Roman"/>
                <w:sz w:val="24"/>
                <w:szCs w:val="24"/>
              </w:rPr>
            </w:pPr>
            <w:r>
              <w:rPr>
                <w:rFonts w:ascii="Times New Roman" w:hAnsi="Times New Roman"/>
                <w:b/>
                <w:sz w:val="24"/>
                <w:szCs w:val="24"/>
              </w:rPr>
              <w:t>Last day to disallow</w:t>
            </w:r>
          </w:p>
        </w:tc>
        <w:tc>
          <w:tcPr>
            <w:tcW w:w="6520" w:type="dxa"/>
          </w:tcPr>
          <w:p w:rsidR="001E0AC1" w:rsidRPr="003B6490" w:rsidRDefault="001E0AC1" w:rsidP="001E0AC1">
            <w:pPr>
              <w:pStyle w:val="letterheadbody"/>
              <w:spacing w:line="264" w:lineRule="auto"/>
              <w:ind w:left="0"/>
              <w:rPr>
                <w:rFonts w:ascii="Times New Roman" w:hAnsi="Times New Roman"/>
                <w:sz w:val="24"/>
                <w:szCs w:val="24"/>
              </w:rPr>
            </w:pPr>
            <w:r>
              <w:rPr>
                <w:rFonts w:ascii="Times New Roman" w:hAnsi="Times New Roman"/>
                <w:sz w:val="24"/>
                <w:szCs w:val="24"/>
              </w:rPr>
              <w:t>15 May 2013</w:t>
            </w:r>
          </w:p>
        </w:tc>
      </w:tr>
      <w:tr w:rsidR="001E0AC1" w:rsidRPr="00B54538" w:rsidTr="001E0AC1">
        <w:tc>
          <w:tcPr>
            <w:tcW w:w="2552" w:type="dxa"/>
          </w:tcPr>
          <w:p w:rsidR="001E0AC1" w:rsidRPr="003B6490" w:rsidRDefault="001E0AC1" w:rsidP="001E0AC1">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Authorising legislation</w:t>
            </w:r>
          </w:p>
        </w:tc>
        <w:tc>
          <w:tcPr>
            <w:tcW w:w="6520" w:type="dxa"/>
          </w:tcPr>
          <w:p w:rsidR="001E0AC1" w:rsidRPr="00982703" w:rsidRDefault="001E0AC1" w:rsidP="001E0AC1">
            <w:pPr>
              <w:pStyle w:val="letterheadbody"/>
              <w:spacing w:line="264" w:lineRule="auto"/>
              <w:ind w:left="0"/>
              <w:rPr>
                <w:rFonts w:ascii="Times New Roman" w:hAnsi="Times New Roman"/>
                <w:i/>
                <w:sz w:val="24"/>
                <w:szCs w:val="24"/>
              </w:rPr>
            </w:pPr>
            <w:r w:rsidRPr="00982703">
              <w:rPr>
                <w:rFonts w:ascii="Times New Roman" w:hAnsi="Times New Roman"/>
                <w:i/>
                <w:noProof/>
                <w:sz w:val="24"/>
                <w:szCs w:val="24"/>
              </w:rPr>
              <w:t>Work Health and Safety Act 2011</w:t>
            </w:r>
          </w:p>
        </w:tc>
      </w:tr>
      <w:tr w:rsidR="001E0AC1" w:rsidRPr="00B54538" w:rsidTr="001E0AC1">
        <w:tc>
          <w:tcPr>
            <w:tcW w:w="2552" w:type="dxa"/>
          </w:tcPr>
          <w:p w:rsidR="001E0AC1" w:rsidRPr="003B6490" w:rsidRDefault="001E0AC1" w:rsidP="001E0AC1">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Department</w:t>
            </w:r>
          </w:p>
        </w:tc>
        <w:tc>
          <w:tcPr>
            <w:tcW w:w="6520" w:type="dxa"/>
          </w:tcPr>
          <w:p w:rsidR="001E0AC1" w:rsidRPr="003B6490" w:rsidRDefault="001E0AC1" w:rsidP="001E0AC1">
            <w:pPr>
              <w:pStyle w:val="letterheadbody"/>
              <w:spacing w:line="264" w:lineRule="auto"/>
              <w:ind w:left="0"/>
              <w:rPr>
                <w:rFonts w:ascii="Times New Roman" w:hAnsi="Times New Roman"/>
                <w:sz w:val="24"/>
                <w:szCs w:val="24"/>
              </w:rPr>
            </w:pPr>
            <w:r w:rsidRPr="00310C67">
              <w:rPr>
                <w:rFonts w:ascii="Times New Roman" w:hAnsi="Times New Roman"/>
                <w:noProof/>
                <w:sz w:val="24"/>
                <w:szCs w:val="24"/>
              </w:rPr>
              <w:t>Education, Employment and Workplace Relations</w:t>
            </w:r>
          </w:p>
        </w:tc>
      </w:tr>
    </w:tbl>
    <w:p w:rsidR="001E0AC1" w:rsidRPr="00B54538" w:rsidRDefault="001E0AC1" w:rsidP="001E0AC1">
      <w:pPr>
        <w:spacing w:after="0"/>
        <w:rPr>
          <w:szCs w:val="26"/>
        </w:rPr>
      </w:pPr>
    </w:p>
    <w:p w:rsidR="001E0AC1" w:rsidRDefault="001E0AC1" w:rsidP="001E0AC1">
      <w:pPr>
        <w:spacing w:after="0"/>
        <w:rPr>
          <w:b/>
          <w:szCs w:val="26"/>
        </w:rPr>
      </w:pPr>
      <w:r>
        <w:rPr>
          <w:b/>
          <w:szCs w:val="26"/>
        </w:rPr>
        <w:t>ISSUE:</w:t>
      </w:r>
    </w:p>
    <w:p w:rsidR="001E0AC1" w:rsidRPr="00B54538" w:rsidRDefault="001E0AC1" w:rsidP="001E0AC1">
      <w:pPr>
        <w:pStyle w:val="Heading4"/>
        <w:numPr>
          <w:ilvl w:val="3"/>
          <w:numId w:val="21"/>
        </w:numPr>
        <w:spacing w:before="120" w:after="120"/>
        <w:rPr>
          <w:noProof/>
        </w:rPr>
      </w:pPr>
      <w:r w:rsidRPr="00310C67">
        <w:rPr>
          <w:noProof/>
        </w:rPr>
        <w:t>Trespass on personal rights</w:t>
      </w:r>
    </w:p>
    <w:p w:rsidR="001E0AC1" w:rsidRDefault="001E0AC1" w:rsidP="001E0AC1">
      <w:pPr>
        <w:rPr>
          <w:b/>
          <w:noProof/>
          <w:szCs w:val="26"/>
        </w:rPr>
      </w:pPr>
      <w:r w:rsidRPr="00310C67">
        <w:rPr>
          <w:noProof/>
          <w:szCs w:val="26"/>
        </w:rPr>
        <w:t>Th</w:t>
      </w:r>
      <w:r>
        <w:rPr>
          <w:noProof/>
          <w:szCs w:val="26"/>
        </w:rPr>
        <w:t>e</w:t>
      </w:r>
      <w:r w:rsidRPr="00310C67">
        <w:rPr>
          <w:noProof/>
          <w:szCs w:val="26"/>
        </w:rPr>
        <w:t xml:space="preserve"> instrument is made under subsection 12D(2) of the </w:t>
      </w:r>
      <w:r w:rsidRPr="00982703">
        <w:rPr>
          <w:i/>
          <w:noProof/>
          <w:szCs w:val="26"/>
        </w:rPr>
        <w:t>Work Health and Safety Act 2011</w:t>
      </w:r>
      <w:r w:rsidRPr="00310C67">
        <w:rPr>
          <w:noProof/>
          <w:szCs w:val="26"/>
        </w:rPr>
        <w:t>, which allows the Chief of the Defence Force to disapply</w:t>
      </w:r>
      <w:r>
        <w:rPr>
          <w:noProof/>
          <w:szCs w:val="26"/>
        </w:rPr>
        <w:t xml:space="preserve">, </w:t>
      </w:r>
      <w:r w:rsidRPr="00310C67">
        <w:rPr>
          <w:noProof/>
          <w:szCs w:val="26"/>
        </w:rPr>
        <w:t>or to apply with modification</w:t>
      </w:r>
      <w:r>
        <w:rPr>
          <w:noProof/>
          <w:szCs w:val="26"/>
        </w:rPr>
        <w:t>s,</w:t>
      </w:r>
      <w:r w:rsidRPr="00310C67">
        <w:rPr>
          <w:noProof/>
          <w:szCs w:val="26"/>
        </w:rPr>
        <w:t xml:space="preserve"> provisions of the </w:t>
      </w:r>
      <w:r w:rsidRPr="00982703">
        <w:rPr>
          <w:i/>
          <w:noProof/>
          <w:szCs w:val="26"/>
        </w:rPr>
        <w:t>Work Health and Safety Act 2011</w:t>
      </w:r>
      <w:r>
        <w:rPr>
          <w:noProof/>
          <w:szCs w:val="26"/>
        </w:rPr>
        <w:t xml:space="preserve"> </w:t>
      </w:r>
      <w:r w:rsidRPr="00982703">
        <w:rPr>
          <w:noProof/>
          <w:szCs w:val="26"/>
        </w:rPr>
        <w:t>to</w:t>
      </w:r>
      <w:r w:rsidRPr="00310C67">
        <w:rPr>
          <w:noProof/>
          <w:szCs w:val="26"/>
        </w:rPr>
        <w:t xml:space="preserve"> the Defence Forces. The purpose of the provision is to ensure that the requirements of the </w:t>
      </w:r>
      <w:r w:rsidRPr="00982703">
        <w:rPr>
          <w:i/>
          <w:noProof/>
          <w:szCs w:val="26"/>
        </w:rPr>
        <w:t>Work Health and Safety Act 2011</w:t>
      </w:r>
      <w:r>
        <w:rPr>
          <w:noProof/>
          <w:szCs w:val="26"/>
        </w:rPr>
        <w:t xml:space="preserve"> </w:t>
      </w:r>
      <w:r w:rsidRPr="00310C67">
        <w:rPr>
          <w:noProof/>
          <w:szCs w:val="26"/>
        </w:rPr>
        <w:t>are not prejudicial to Australia</w:t>
      </w:r>
      <w:r>
        <w:rPr>
          <w:noProof/>
          <w:szCs w:val="26"/>
        </w:rPr>
        <w:t>'</w:t>
      </w:r>
      <w:r w:rsidRPr="00310C67">
        <w:rPr>
          <w:noProof/>
          <w:szCs w:val="26"/>
        </w:rPr>
        <w:t xml:space="preserve">s defence, and the Chief of the Defence Force is required to take into account the need to promote the objects of </w:t>
      </w:r>
      <w:r w:rsidRPr="00310C67">
        <w:rPr>
          <w:noProof/>
          <w:szCs w:val="26"/>
        </w:rPr>
        <w:lastRenderedPageBreak/>
        <w:t>that Act to the greatest extent consistent wi</w:t>
      </w:r>
      <w:r>
        <w:rPr>
          <w:noProof/>
          <w:szCs w:val="26"/>
        </w:rPr>
        <w:t>th the maintenance of Australia'</w:t>
      </w:r>
      <w:r w:rsidRPr="00310C67">
        <w:rPr>
          <w:noProof/>
          <w:szCs w:val="26"/>
        </w:rPr>
        <w:t>s defence.</w:t>
      </w:r>
      <w:r>
        <w:rPr>
          <w:noProof/>
          <w:szCs w:val="26"/>
        </w:rPr>
        <w:t xml:space="preserve"> The ES to the instrument provides a justification for </w:t>
      </w:r>
      <w:r w:rsidRPr="00310C67">
        <w:rPr>
          <w:noProof/>
          <w:szCs w:val="26"/>
        </w:rPr>
        <w:t>this limitation of rights</w:t>
      </w:r>
      <w:r>
        <w:rPr>
          <w:noProof/>
          <w:szCs w:val="26"/>
        </w:rPr>
        <w:t xml:space="preserve">, noting that this is a necessary and proportionate means to achieve the operational and organisational objectives of the military service and the Government's defence policy. Further, the ES notes that Defence maintains a </w:t>
      </w:r>
      <w:r w:rsidRPr="00310C67">
        <w:rPr>
          <w:noProof/>
          <w:szCs w:val="26"/>
        </w:rPr>
        <w:t>Defence Safety Management System</w:t>
      </w:r>
      <w:r>
        <w:rPr>
          <w:noProof/>
          <w:szCs w:val="26"/>
        </w:rPr>
        <w:t xml:space="preserve">, which seeks to provide </w:t>
      </w:r>
      <w:r w:rsidRPr="00310C67">
        <w:rPr>
          <w:noProof/>
          <w:szCs w:val="26"/>
        </w:rPr>
        <w:t xml:space="preserve">all Defence workers </w:t>
      </w:r>
      <w:r>
        <w:rPr>
          <w:noProof/>
          <w:szCs w:val="26"/>
        </w:rPr>
        <w:t xml:space="preserve">with </w:t>
      </w:r>
      <w:r w:rsidRPr="00310C67">
        <w:rPr>
          <w:noProof/>
          <w:szCs w:val="26"/>
        </w:rPr>
        <w:t xml:space="preserve">the highest level of </w:t>
      </w:r>
      <w:r>
        <w:rPr>
          <w:noProof/>
          <w:szCs w:val="26"/>
        </w:rPr>
        <w:t>(</w:t>
      </w:r>
      <w:r w:rsidRPr="00310C67">
        <w:rPr>
          <w:noProof/>
          <w:szCs w:val="26"/>
        </w:rPr>
        <w:t>reasonably practicable</w:t>
      </w:r>
      <w:r>
        <w:rPr>
          <w:noProof/>
          <w:szCs w:val="26"/>
        </w:rPr>
        <w:t xml:space="preserve">) </w:t>
      </w:r>
      <w:r w:rsidRPr="00310C67">
        <w:rPr>
          <w:noProof/>
          <w:szCs w:val="26"/>
        </w:rPr>
        <w:t>protection against harm to their health, safety and welfare from hazards and risks arising at work</w:t>
      </w:r>
      <w:r>
        <w:rPr>
          <w:noProof/>
          <w:szCs w:val="26"/>
        </w:rPr>
        <w:t xml:space="preserve">. </w:t>
      </w:r>
      <w:r w:rsidRPr="00BC48FF">
        <w:rPr>
          <w:b/>
          <w:noProof/>
          <w:szCs w:val="26"/>
        </w:rPr>
        <w:t xml:space="preserve">In light of the justification provided, the committee draws the attention of the Senate to the </w:t>
      </w:r>
      <w:r>
        <w:rPr>
          <w:b/>
          <w:noProof/>
          <w:szCs w:val="26"/>
        </w:rPr>
        <w:t>effect of the instrument on personal rights</w:t>
      </w:r>
      <w:r w:rsidRPr="00BC48FF">
        <w:rPr>
          <w:b/>
          <w:noProof/>
          <w:szCs w:val="26"/>
        </w:rPr>
        <w:t>, and makes no further comment.</w:t>
      </w:r>
    </w:p>
    <w:p w:rsidR="001E0AC1" w:rsidRPr="00310C67" w:rsidRDefault="001E0AC1" w:rsidP="009F02ED">
      <w:pPr>
        <w:pStyle w:val="Heading3"/>
        <w:spacing w:before="480"/>
        <w:rPr>
          <w:noProof/>
        </w:rPr>
      </w:pPr>
      <w:r w:rsidRPr="00310C67">
        <w:rPr>
          <w:noProof/>
        </w:rPr>
        <w:t>CASA EX193/12 - Exemption - operations by paragliders in the Corryong Open and hang-gliders in the Corryong Cup</w:t>
      </w:r>
      <w:r>
        <w:rPr>
          <w:noProof/>
        </w:rPr>
        <w:t xml:space="preserve"> </w:t>
      </w:r>
      <w:r w:rsidRPr="000E6FB5">
        <w:t>[F2012L02520]</w:t>
      </w:r>
      <w:r w:rsidRPr="00310C67">
        <w:rPr>
          <w:noProof/>
        </w:rPr>
        <w:t>; and</w:t>
      </w:r>
    </w:p>
    <w:p w:rsidR="001E0AC1" w:rsidRPr="00B54538" w:rsidRDefault="001E0AC1" w:rsidP="009F02ED">
      <w:pPr>
        <w:pStyle w:val="Heading3"/>
      </w:pPr>
      <w:r w:rsidRPr="00310C67">
        <w:rPr>
          <w:noProof/>
        </w:rPr>
        <w:t>CASA EX194/12 - Exemption - operations by hang-gliders in the Forbes Flatlands Hang Gliding Championships 2012-2013</w:t>
      </w:r>
      <w:r>
        <w:rPr>
          <w:noProof/>
        </w:rPr>
        <w:t xml:space="preserve"> </w:t>
      </w:r>
      <w:r w:rsidRPr="000E6FB5">
        <w:t>[F2012L02527]</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1E0AC1" w:rsidRPr="00B54538" w:rsidTr="001E0AC1">
        <w:tc>
          <w:tcPr>
            <w:tcW w:w="2552" w:type="dxa"/>
          </w:tcPr>
          <w:p w:rsidR="001E0AC1" w:rsidRPr="003B6490" w:rsidRDefault="001E0AC1" w:rsidP="001E0AC1">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Purpose</w:t>
            </w:r>
          </w:p>
        </w:tc>
        <w:tc>
          <w:tcPr>
            <w:tcW w:w="6520" w:type="dxa"/>
          </w:tcPr>
          <w:p w:rsidR="001E0AC1" w:rsidRPr="003B6490" w:rsidRDefault="001E0AC1" w:rsidP="001E0AC1">
            <w:pPr>
              <w:pStyle w:val="letterheadbody"/>
              <w:spacing w:line="264" w:lineRule="auto"/>
              <w:ind w:left="0"/>
              <w:rPr>
                <w:rFonts w:ascii="Times New Roman" w:hAnsi="Times New Roman"/>
                <w:sz w:val="24"/>
                <w:szCs w:val="24"/>
              </w:rPr>
            </w:pPr>
            <w:r w:rsidRPr="00310C67">
              <w:rPr>
                <w:rFonts w:ascii="Times New Roman" w:hAnsi="Times New Roman"/>
                <w:noProof/>
                <w:sz w:val="24"/>
                <w:szCs w:val="24"/>
              </w:rPr>
              <w:t>Allows activities associated with the Corryong Paragliding Open and the Corryong Hang Gliding Cup to take place; and enables participants in the Forbes Flatlands Hang Gliding Championshi</w:t>
            </w:r>
            <w:r>
              <w:rPr>
                <w:rFonts w:ascii="Times New Roman" w:hAnsi="Times New Roman"/>
                <w:noProof/>
                <w:sz w:val="24"/>
                <w:szCs w:val="24"/>
              </w:rPr>
              <w:t>ps 2012-</w:t>
            </w:r>
            <w:r w:rsidRPr="00310C67">
              <w:rPr>
                <w:rFonts w:ascii="Times New Roman" w:hAnsi="Times New Roman"/>
                <w:noProof/>
                <w:sz w:val="24"/>
                <w:szCs w:val="24"/>
              </w:rPr>
              <w:t>13 to fly a hang-glider without the aircraft ca</w:t>
            </w:r>
            <w:r>
              <w:rPr>
                <w:rFonts w:ascii="Times New Roman" w:hAnsi="Times New Roman"/>
                <w:noProof/>
                <w:sz w:val="24"/>
                <w:szCs w:val="24"/>
              </w:rPr>
              <w:t>rrying a serviceable aircraft V</w:t>
            </w:r>
            <w:r w:rsidRPr="00310C67">
              <w:rPr>
                <w:rFonts w:ascii="Times New Roman" w:hAnsi="Times New Roman"/>
                <w:noProof/>
                <w:sz w:val="24"/>
                <w:szCs w:val="24"/>
              </w:rPr>
              <w:t>HF radio and without the pilot having</w:t>
            </w:r>
            <w:r>
              <w:rPr>
                <w:rFonts w:ascii="Times New Roman" w:hAnsi="Times New Roman"/>
                <w:noProof/>
                <w:sz w:val="24"/>
                <w:szCs w:val="24"/>
              </w:rPr>
              <w:t xml:space="preserve"> a radiotelephone qualification</w:t>
            </w:r>
          </w:p>
        </w:tc>
      </w:tr>
      <w:tr w:rsidR="001E0AC1" w:rsidRPr="00B54538" w:rsidTr="001E0AC1">
        <w:tc>
          <w:tcPr>
            <w:tcW w:w="2552" w:type="dxa"/>
          </w:tcPr>
          <w:p w:rsidR="001E0AC1" w:rsidRPr="003B6490" w:rsidRDefault="001E0AC1" w:rsidP="001E0AC1">
            <w:pPr>
              <w:pStyle w:val="letterheadbody"/>
              <w:spacing w:line="264" w:lineRule="auto"/>
              <w:ind w:left="0"/>
              <w:rPr>
                <w:rFonts w:ascii="Times New Roman" w:hAnsi="Times New Roman"/>
                <w:sz w:val="24"/>
                <w:szCs w:val="24"/>
              </w:rPr>
            </w:pPr>
            <w:r>
              <w:rPr>
                <w:rFonts w:ascii="Times New Roman" w:hAnsi="Times New Roman"/>
                <w:b/>
                <w:sz w:val="24"/>
                <w:szCs w:val="24"/>
              </w:rPr>
              <w:t>Last day to disallow</w:t>
            </w:r>
          </w:p>
        </w:tc>
        <w:tc>
          <w:tcPr>
            <w:tcW w:w="6520" w:type="dxa"/>
          </w:tcPr>
          <w:p w:rsidR="001E0AC1" w:rsidRPr="003B6490" w:rsidRDefault="001E0AC1" w:rsidP="001E0AC1">
            <w:pPr>
              <w:pStyle w:val="letterheadbody"/>
              <w:spacing w:line="264" w:lineRule="auto"/>
              <w:ind w:left="0"/>
              <w:rPr>
                <w:rFonts w:ascii="Times New Roman" w:hAnsi="Times New Roman"/>
                <w:sz w:val="24"/>
                <w:szCs w:val="24"/>
              </w:rPr>
            </w:pPr>
            <w:r>
              <w:rPr>
                <w:rFonts w:ascii="Times New Roman" w:hAnsi="Times New Roman"/>
                <w:sz w:val="24"/>
                <w:szCs w:val="24"/>
              </w:rPr>
              <w:t>15 May 2013</w:t>
            </w:r>
          </w:p>
        </w:tc>
      </w:tr>
      <w:tr w:rsidR="001E0AC1" w:rsidRPr="00B54538" w:rsidTr="001E0AC1">
        <w:tc>
          <w:tcPr>
            <w:tcW w:w="2552" w:type="dxa"/>
          </w:tcPr>
          <w:p w:rsidR="001E0AC1" w:rsidRPr="003B6490" w:rsidRDefault="001E0AC1" w:rsidP="001E0AC1">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Authorising legislation</w:t>
            </w:r>
          </w:p>
        </w:tc>
        <w:tc>
          <w:tcPr>
            <w:tcW w:w="6520" w:type="dxa"/>
          </w:tcPr>
          <w:p w:rsidR="001E0AC1" w:rsidRPr="003B6490" w:rsidRDefault="001E0AC1" w:rsidP="001E0AC1">
            <w:pPr>
              <w:pStyle w:val="letterheadbody"/>
              <w:spacing w:line="264" w:lineRule="auto"/>
              <w:ind w:left="0"/>
              <w:rPr>
                <w:rFonts w:ascii="Times New Roman" w:hAnsi="Times New Roman"/>
                <w:sz w:val="24"/>
                <w:szCs w:val="24"/>
              </w:rPr>
            </w:pPr>
            <w:r w:rsidRPr="00310C67">
              <w:rPr>
                <w:rFonts w:ascii="Times New Roman" w:hAnsi="Times New Roman"/>
                <w:noProof/>
                <w:sz w:val="24"/>
                <w:szCs w:val="24"/>
              </w:rPr>
              <w:t>Civil Aviation Safety Regulations 1998</w:t>
            </w:r>
          </w:p>
        </w:tc>
      </w:tr>
      <w:tr w:rsidR="001E0AC1" w:rsidRPr="00B54538" w:rsidTr="001E0AC1">
        <w:tc>
          <w:tcPr>
            <w:tcW w:w="2552" w:type="dxa"/>
          </w:tcPr>
          <w:p w:rsidR="001E0AC1" w:rsidRPr="003B6490" w:rsidRDefault="001E0AC1" w:rsidP="001E0AC1">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Department</w:t>
            </w:r>
          </w:p>
        </w:tc>
        <w:tc>
          <w:tcPr>
            <w:tcW w:w="6520" w:type="dxa"/>
          </w:tcPr>
          <w:p w:rsidR="001E0AC1" w:rsidRPr="003B6490" w:rsidRDefault="001E0AC1" w:rsidP="001E0AC1">
            <w:pPr>
              <w:pStyle w:val="letterheadbody"/>
              <w:spacing w:line="264" w:lineRule="auto"/>
              <w:ind w:left="0"/>
              <w:rPr>
                <w:rFonts w:ascii="Times New Roman" w:hAnsi="Times New Roman"/>
                <w:sz w:val="24"/>
                <w:szCs w:val="24"/>
              </w:rPr>
            </w:pPr>
            <w:r w:rsidRPr="00310C67">
              <w:rPr>
                <w:rFonts w:ascii="Times New Roman" w:hAnsi="Times New Roman"/>
                <w:noProof/>
                <w:sz w:val="24"/>
                <w:szCs w:val="24"/>
              </w:rPr>
              <w:t>Infrastructure and Transport</w:t>
            </w:r>
          </w:p>
        </w:tc>
      </w:tr>
    </w:tbl>
    <w:p w:rsidR="001E0AC1" w:rsidRPr="00B54538" w:rsidRDefault="001E0AC1" w:rsidP="001E0AC1">
      <w:pPr>
        <w:spacing w:after="0"/>
        <w:rPr>
          <w:szCs w:val="26"/>
        </w:rPr>
      </w:pPr>
    </w:p>
    <w:p w:rsidR="001E0AC1" w:rsidRDefault="001E0AC1" w:rsidP="001E0AC1">
      <w:pPr>
        <w:spacing w:after="0"/>
        <w:rPr>
          <w:b/>
          <w:szCs w:val="26"/>
        </w:rPr>
      </w:pPr>
      <w:r>
        <w:rPr>
          <w:b/>
          <w:szCs w:val="26"/>
        </w:rPr>
        <w:t>ISSUE:</w:t>
      </w:r>
    </w:p>
    <w:p w:rsidR="001E0AC1" w:rsidRPr="00B54538" w:rsidRDefault="001E0AC1" w:rsidP="001E0AC1">
      <w:pPr>
        <w:pStyle w:val="Heading4"/>
        <w:numPr>
          <w:ilvl w:val="3"/>
          <w:numId w:val="21"/>
        </w:numPr>
        <w:spacing w:before="120" w:after="120"/>
        <w:rPr>
          <w:noProof/>
        </w:rPr>
      </w:pPr>
      <w:r w:rsidRPr="00310C67">
        <w:rPr>
          <w:noProof/>
        </w:rPr>
        <w:t xml:space="preserve">Insufficient explanation provided </w:t>
      </w:r>
      <w:r>
        <w:rPr>
          <w:noProof/>
        </w:rPr>
        <w:t>regarding</w:t>
      </w:r>
      <w:r w:rsidRPr="00310C67">
        <w:rPr>
          <w:noProof/>
        </w:rPr>
        <w:t xml:space="preserve"> consultation</w:t>
      </w:r>
    </w:p>
    <w:p w:rsidR="001E0AC1" w:rsidRDefault="001E0AC1" w:rsidP="001E0AC1">
      <w:pPr>
        <w:pStyle w:val="Level1"/>
        <w:numPr>
          <w:ilvl w:val="0"/>
          <w:numId w:val="0"/>
        </w:numPr>
        <w:rPr>
          <w:noProof/>
        </w:rPr>
      </w:pPr>
      <w:r w:rsidRPr="00E2599D">
        <w:rPr>
          <w:noProof/>
        </w:rPr>
        <w:t xml:space="preserve">Section 17 of the </w:t>
      </w:r>
      <w:r w:rsidRPr="00E2599D">
        <w:rPr>
          <w:i/>
          <w:noProof/>
        </w:rPr>
        <w:t>Legislative Instruments Act 2003</w:t>
      </w:r>
      <w:r w:rsidRPr="00E2599D">
        <w:rPr>
          <w:noProof/>
        </w:rPr>
        <w:t xml:space="preserve"> 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ES which must accompany an instrument is required to describe the nature of any consultation that has been carried out or, if there has been no consultation, to explain w</w:t>
      </w:r>
      <w:r>
        <w:rPr>
          <w:noProof/>
        </w:rPr>
        <w:t>hy none was undertaken (section </w:t>
      </w:r>
      <w:r w:rsidRPr="00E2599D">
        <w:rPr>
          <w:noProof/>
        </w:rPr>
        <w:t>26).</w:t>
      </w:r>
      <w:r>
        <w:rPr>
          <w:noProof/>
        </w:rPr>
        <w:t xml:space="preserve"> </w:t>
      </w:r>
      <w:r w:rsidRPr="00E2599D">
        <w:rPr>
          <w:noProof/>
          <w:szCs w:val="26"/>
        </w:rPr>
        <w:t xml:space="preserve">With reference to these requirements, the committee notes that the ESs </w:t>
      </w:r>
      <w:r>
        <w:rPr>
          <w:noProof/>
          <w:szCs w:val="26"/>
        </w:rPr>
        <w:t xml:space="preserve">for </w:t>
      </w:r>
      <w:r w:rsidRPr="00E2599D">
        <w:rPr>
          <w:noProof/>
          <w:szCs w:val="26"/>
        </w:rPr>
        <w:t>the instruments state only that 'CASA has consulted with The Hang Gliding Federation of Australia Incorporated and the organisers of the events [or 'Championship organisers' in the latter instrument]. The terms of the exemption have been agreed'.</w:t>
      </w:r>
      <w:r>
        <w:rPr>
          <w:noProof/>
          <w:szCs w:val="26"/>
        </w:rPr>
        <w:t xml:space="preserve"> </w:t>
      </w:r>
      <w:r w:rsidRPr="00E2599D">
        <w:rPr>
          <w:noProof/>
          <w:szCs w:val="26"/>
        </w:rPr>
        <w:t xml:space="preserve">In the committee's view, these descriptions of consultation could be more properly characterised as descriptions of a process of application for and approval of the exemptions. If this view were accepted, it could not be said that consultation had taken place in the sense prescribed or envisaged by the </w:t>
      </w:r>
      <w:r w:rsidRPr="00AE3138">
        <w:rPr>
          <w:i/>
          <w:noProof/>
          <w:szCs w:val="26"/>
        </w:rPr>
        <w:t>Legislative Instruments Act 2003</w:t>
      </w:r>
      <w:r w:rsidRPr="00E2599D">
        <w:rPr>
          <w:noProof/>
          <w:szCs w:val="26"/>
        </w:rPr>
        <w:t xml:space="preserve">, and the ES to these instruments should contain instead an </w:t>
      </w:r>
      <w:r w:rsidRPr="00E2599D">
        <w:rPr>
          <w:noProof/>
          <w:szCs w:val="26"/>
        </w:rPr>
        <w:lastRenderedPageBreak/>
        <w:t>explanation as to why consultation was considered unnecessary or inappropriate in the two cases.</w:t>
      </w:r>
      <w:r>
        <w:rPr>
          <w:noProof/>
          <w:szCs w:val="26"/>
        </w:rPr>
        <w:t xml:space="preserve"> </w:t>
      </w:r>
      <w:r w:rsidRPr="00940F8E">
        <w:rPr>
          <w:b/>
          <w:noProof/>
        </w:rPr>
        <w:t xml:space="preserve">The committee will </w:t>
      </w:r>
      <w:r>
        <w:rPr>
          <w:b/>
          <w:noProof/>
        </w:rPr>
        <w:t xml:space="preserve">therefore </w:t>
      </w:r>
      <w:r w:rsidRPr="00940F8E">
        <w:rPr>
          <w:b/>
          <w:noProof/>
        </w:rPr>
        <w:t xml:space="preserve">seek </w:t>
      </w:r>
      <w:r>
        <w:rPr>
          <w:b/>
          <w:noProof/>
        </w:rPr>
        <w:t>further information</w:t>
      </w:r>
      <w:r w:rsidRPr="00940F8E">
        <w:rPr>
          <w:b/>
          <w:noProof/>
        </w:rPr>
        <w:t xml:space="preserve"> from the minister and request that</w:t>
      </w:r>
      <w:r>
        <w:rPr>
          <w:b/>
          <w:noProof/>
        </w:rPr>
        <w:t>, if appropriate,</w:t>
      </w:r>
      <w:r w:rsidRPr="00940F8E">
        <w:rPr>
          <w:b/>
          <w:noProof/>
        </w:rPr>
        <w:t xml:space="preserve"> the ES</w:t>
      </w:r>
      <w:r>
        <w:rPr>
          <w:b/>
          <w:noProof/>
        </w:rPr>
        <w:t>s</w:t>
      </w:r>
      <w:r w:rsidRPr="00940F8E">
        <w:rPr>
          <w:b/>
          <w:noProof/>
        </w:rPr>
        <w:t xml:space="preserve"> be updated in accordance with the requirements of the </w:t>
      </w:r>
      <w:r w:rsidRPr="00E2599D">
        <w:rPr>
          <w:b/>
          <w:i/>
          <w:noProof/>
        </w:rPr>
        <w:t>Legislative Instruments Act 2003</w:t>
      </w:r>
      <w:r>
        <w:rPr>
          <w:noProof/>
        </w:rPr>
        <w:t>.</w:t>
      </w:r>
    </w:p>
    <w:p w:rsidR="001E0AC1" w:rsidRDefault="001E0AC1" w:rsidP="001E0AC1">
      <w:pPr>
        <w:spacing w:after="0"/>
        <w:jc w:val="left"/>
        <w:rPr>
          <w:b/>
          <w:noProof/>
          <w:sz w:val="28"/>
        </w:rPr>
      </w:pPr>
    </w:p>
    <w:p w:rsidR="001E0AC1" w:rsidRPr="00B54538" w:rsidRDefault="001E0AC1" w:rsidP="001E0AC1">
      <w:pPr>
        <w:pStyle w:val="Heading3"/>
      </w:pPr>
      <w:r w:rsidRPr="00310C67">
        <w:rPr>
          <w:noProof/>
        </w:rPr>
        <w:t>Civil Aviation Order 20.18 Amendment Instrument 2012 (No. 2)</w:t>
      </w:r>
      <w:r>
        <w:rPr>
          <w:noProof/>
        </w:rPr>
        <w:t xml:space="preserve"> </w:t>
      </w:r>
      <w:r>
        <w:t>[F2012L02556]</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1E0AC1" w:rsidRPr="00B54538" w:rsidTr="001E0AC1">
        <w:tc>
          <w:tcPr>
            <w:tcW w:w="2552" w:type="dxa"/>
          </w:tcPr>
          <w:p w:rsidR="001E0AC1" w:rsidRPr="003B6490" w:rsidRDefault="001E0AC1" w:rsidP="001E0AC1">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Purpose</w:t>
            </w:r>
          </w:p>
        </w:tc>
        <w:tc>
          <w:tcPr>
            <w:tcW w:w="6520" w:type="dxa"/>
          </w:tcPr>
          <w:p w:rsidR="001E0AC1" w:rsidRPr="003B6490" w:rsidRDefault="001E0AC1" w:rsidP="001E0AC1">
            <w:pPr>
              <w:pStyle w:val="letterheadbody"/>
              <w:spacing w:line="264" w:lineRule="auto"/>
              <w:ind w:left="0"/>
              <w:rPr>
                <w:rFonts w:ascii="Times New Roman" w:hAnsi="Times New Roman"/>
                <w:sz w:val="24"/>
                <w:szCs w:val="24"/>
              </w:rPr>
            </w:pPr>
            <w:r w:rsidRPr="00310C67">
              <w:rPr>
                <w:rFonts w:ascii="Times New Roman" w:hAnsi="Times New Roman"/>
                <w:noProof/>
                <w:sz w:val="24"/>
                <w:szCs w:val="24"/>
              </w:rPr>
              <w:t>Amends the Civil Aviation Order 20.18 - Aircraft equipment - Basic operational requirements (02/12/2004)</w:t>
            </w:r>
          </w:p>
        </w:tc>
      </w:tr>
      <w:tr w:rsidR="001E0AC1" w:rsidRPr="00B54538" w:rsidTr="001E0AC1">
        <w:tc>
          <w:tcPr>
            <w:tcW w:w="2552" w:type="dxa"/>
          </w:tcPr>
          <w:p w:rsidR="001E0AC1" w:rsidRPr="003B6490" w:rsidRDefault="001E0AC1" w:rsidP="001E0AC1">
            <w:pPr>
              <w:pStyle w:val="letterheadbody"/>
              <w:spacing w:line="264" w:lineRule="auto"/>
              <w:ind w:left="0"/>
              <w:rPr>
                <w:rFonts w:ascii="Times New Roman" w:hAnsi="Times New Roman"/>
                <w:sz w:val="24"/>
                <w:szCs w:val="24"/>
              </w:rPr>
            </w:pPr>
            <w:r>
              <w:rPr>
                <w:rFonts w:ascii="Times New Roman" w:hAnsi="Times New Roman"/>
                <w:b/>
                <w:sz w:val="24"/>
                <w:szCs w:val="24"/>
              </w:rPr>
              <w:t>Last day to disallow</w:t>
            </w:r>
          </w:p>
        </w:tc>
        <w:tc>
          <w:tcPr>
            <w:tcW w:w="6520" w:type="dxa"/>
          </w:tcPr>
          <w:p w:rsidR="001E0AC1" w:rsidRPr="003B6490" w:rsidRDefault="001E0AC1" w:rsidP="001E0AC1">
            <w:pPr>
              <w:pStyle w:val="letterheadbody"/>
              <w:spacing w:line="264" w:lineRule="auto"/>
              <w:ind w:left="0"/>
              <w:rPr>
                <w:rFonts w:ascii="Times New Roman" w:hAnsi="Times New Roman"/>
                <w:sz w:val="24"/>
                <w:szCs w:val="24"/>
              </w:rPr>
            </w:pPr>
            <w:r>
              <w:rPr>
                <w:rFonts w:ascii="Times New Roman" w:hAnsi="Times New Roman"/>
                <w:sz w:val="24"/>
                <w:szCs w:val="24"/>
              </w:rPr>
              <w:t>15 May 2013</w:t>
            </w:r>
          </w:p>
        </w:tc>
      </w:tr>
      <w:tr w:rsidR="001E0AC1" w:rsidRPr="00B54538" w:rsidTr="001E0AC1">
        <w:tc>
          <w:tcPr>
            <w:tcW w:w="2552" w:type="dxa"/>
          </w:tcPr>
          <w:p w:rsidR="001E0AC1" w:rsidRPr="003B6490" w:rsidRDefault="001E0AC1" w:rsidP="001E0AC1">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Authorising legislation</w:t>
            </w:r>
          </w:p>
        </w:tc>
        <w:tc>
          <w:tcPr>
            <w:tcW w:w="6520" w:type="dxa"/>
          </w:tcPr>
          <w:p w:rsidR="001E0AC1" w:rsidRPr="003B6490" w:rsidRDefault="001E0AC1" w:rsidP="001E0AC1">
            <w:pPr>
              <w:pStyle w:val="letterheadbody"/>
              <w:spacing w:line="264" w:lineRule="auto"/>
              <w:ind w:left="0"/>
              <w:rPr>
                <w:rFonts w:ascii="Times New Roman" w:hAnsi="Times New Roman"/>
                <w:sz w:val="24"/>
                <w:szCs w:val="24"/>
              </w:rPr>
            </w:pPr>
            <w:r w:rsidRPr="00310C67">
              <w:rPr>
                <w:rFonts w:ascii="Times New Roman" w:hAnsi="Times New Roman"/>
                <w:noProof/>
                <w:sz w:val="24"/>
                <w:szCs w:val="24"/>
              </w:rPr>
              <w:t>Civil Aviation Regulations 1988</w:t>
            </w:r>
          </w:p>
        </w:tc>
      </w:tr>
      <w:tr w:rsidR="001E0AC1" w:rsidRPr="00B54538" w:rsidTr="001E0AC1">
        <w:tc>
          <w:tcPr>
            <w:tcW w:w="2552" w:type="dxa"/>
          </w:tcPr>
          <w:p w:rsidR="001E0AC1" w:rsidRPr="003B6490" w:rsidRDefault="001E0AC1" w:rsidP="001E0AC1">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Department</w:t>
            </w:r>
          </w:p>
        </w:tc>
        <w:tc>
          <w:tcPr>
            <w:tcW w:w="6520" w:type="dxa"/>
          </w:tcPr>
          <w:p w:rsidR="001E0AC1" w:rsidRPr="003B6490" w:rsidRDefault="001E0AC1" w:rsidP="001E0AC1">
            <w:pPr>
              <w:pStyle w:val="letterheadbody"/>
              <w:spacing w:line="264" w:lineRule="auto"/>
              <w:ind w:left="0"/>
              <w:rPr>
                <w:rFonts w:ascii="Times New Roman" w:hAnsi="Times New Roman"/>
                <w:sz w:val="24"/>
                <w:szCs w:val="24"/>
              </w:rPr>
            </w:pPr>
            <w:r w:rsidRPr="00310C67">
              <w:rPr>
                <w:rFonts w:ascii="Times New Roman" w:hAnsi="Times New Roman"/>
                <w:noProof/>
                <w:sz w:val="24"/>
                <w:szCs w:val="24"/>
              </w:rPr>
              <w:t>Infrastructure and Transport</w:t>
            </w:r>
          </w:p>
        </w:tc>
      </w:tr>
    </w:tbl>
    <w:p w:rsidR="001E0AC1" w:rsidRPr="00B54538" w:rsidRDefault="001E0AC1" w:rsidP="001E0AC1">
      <w:pPr>
        <w:spacing w:after="0"/>
        <w:rPr>
          <w:szCs w:val="26"/>
        </w:rPr>
      </w:pPr>
    </w:p>
    <w:p w:rsidR="001E0AC1" w:rsidRDefault="001E0AC1" w:rsidP="001E0AC1">
      <w:pPr>
        <w:spacing w:after="0"/>
        <w:rPr>
          <w:b/>
          <w:szCs w:val="26"/>
        </w:rPr>
      </w:pPr>
      <w:r>
        <w:rPr>
          <w:b/>
          <w:szCs w:val="26"/>
        </w:rPr>
        <w:t>ISSUE:</w:t>
      </w:r>
    </w:p>
    <w:p w:rsidR="001E0AC1" w:rsidRPr="00B54538" w:rsidRDefault="001E0AC1" w:rsidP="001E0AC1">
      <w:pPr>
        <w:pStyle w:val="Heading4"/>
        <w:numPr>
          <w:ilvl w:val="3"/>
          <w:numId w:val="21"/>
        </w:numPr>
        <w:spacing w:before="120" w:after="120"/>
        <w:rPr>
          <w:noProof/>
        </w:rPr>
      </w:pPr>
      <w:r w:rsidRPr="00310C67">
        <w:rPr>
          <w:noProof/>
        </w:rPr>
        <w:t xml:space="preserve">Insufficient explanation provided </w:t>
      </w:r>
      <w:r>
        <w:rPr>
          <w:noProof/>
        </w:rPr>
        <w:t>regarding</w:t>
      </w:r>
      <w:r w:rsidRPr="00310C67">
        <w:rPr>
          <w:noProof/>
        </w:rPr>
        <w:t xml:space="preserve"> consultation</w:t>
      </w:r>
    </w:p>
    <w:p w:rsidR="001E0AC1" w:rsidRDefault="001E0AC1" w:rsidP="001E0AC1">
      <w:pPr>
        <w:pStyle w:val="Level1"/>
        <w:numPr>
          <w:ilvl w:val="0"/>
          <w:numId w:val="0"/>
        </w:numPr>
        <w:rPr>
          <w:noProof/>
          <w:szCs w:val="26"/>
        </w:rPr>
      </w:pPr>
      <w:r w:rsidRPr="00E2599D">
        <w:rPr>
          <w:noProof/>
        </w:rPr>
        <w:t xml:space="preserve">Section 17 of the </w:t>
      </w:r>
      <w:r w:rsidRPr="00E2599D">
        <w:rPr>
          <w:i/>
          <w:noProof/>
        </w:rPr>
        <w:t>Legislative Instruments Act 2003</w:t>
      </w:r>
      <w:r w:rsidRPr="00E2599D">
        <w:rPr>
          <w:noProof/>
        </w:rPr>
        <w:t xml:space="preserve"> 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ES which must accompany an instrument is required to describe the nature of any consultation that has been carried out or, if there has been no consultation, to explain w</w:t>
      </w:r>
      <w:r>
        <w:rPr>
          <w:noProof/>
        </w:rPr>
        <w:t>hy none was undertaken (section </w:t>
      </w:r>
      <w:r w:rsidRPr="00E2599D">
        <w:rPr>
          <w:noProof/>
        </w:rPr>
        <w:t>26).</w:t>
      </w:r>
      <w:r>
        <w:rPr>
          <w:noProof/>
        </w:rPr>
        <w:t xml:space="preserve"> </w:t>
      </w:r>
      <w:r w:rsidRPr="00E2599D">
        <w:rPr>
          <w:noProof/>
          <w:szCs w:val="26"/>
        </w:rPr>
        <w:t xml:space="preserve">With reference to these requirements, the committee notes that the ES </w:t>
      </w:r>
      <w:r>
        <w:rPr>
          <w:noProof/>
          <w:szCs w:val="26"/>
        </w:rPr>
        <w:t xml:space="preserve">for </w:t>
      </w:r>
      <w:r w:rsidRPr="00E2599D">
        <w:rPr>
          <w:noProof/>
          <w:szCs w:val="26"/>
        </w:rPr>
        <w:t>the instrument state</w:t>
      </w:r>
      <w:r>
        <w:rPr>
          <w:noProof/>
          <w:szCs w:val="26"/>
        </w:rPr>
        <w:t>s</w:t>
      </w:r>
      <w:r w:rsidRPr="00E2599D">
        <w:rPr>
          <w:noProof/>
          <w:szCs w:val="26"/>
        </w:rPr>
        <w:t xml:space="preserve"> only </w:t>
      </w:r>
      <w:r>
        <w:rPr>
          <w:noProof/>
          <w:szCs w:val="26"/>
        </w:rPr>
        <w:t xml:space="preserve">that </w:t>
      </w:r>
      <w:r w:rsidRPr="00310C67">
        <w:rPr>
          <w:noProof/>
        </w:rPr>
        <w:t xml:space="preserve">consultation was undertaken through discussions with the 'relevant industry sectors'. The committee </w:t>
      </w:r>
      <w:r>
        <w:rPr>
          <w:noProof/>
        </w:rPr>
        <w:t xml:space="preserve">generally </w:t>
      </w:r>
      <w:r w:rsidRPr="00310C67">
        <w:rPr>
          <w:noProof/>
        </w:rPr>
        <w:t>take</w:t>
      </w:r>
      <w:r>
        <w:rPr>
          <w:noProof/>
        </w:rPr>
        <w:t>s</w:t>
      </w:r>
      <w:r w:rsidRPr="00310C67">
        <w:rPr>
          <w:noProof/>
        </w:rPr>
        <w:t xml:space="preserve"> the view that overly bare or general descriptions</w:t>
      </w:r>
      <w:r>
        <w:rPr>
          <w:noProof/>
        </w:rPr>
        <w:t>,</w:t>
      </w:r>
      <w:r w:rsidRPr="00310C67">
        <w:rPr>
          <w:noProof/>
        </w:rPr>
        <w:t xml:space="preserve"> such as this</w:t>
      </w:r>
      <w:r>
        <w:rPr>
          <w:noProof/>
        </w:rPr>
        <w:t>,</w:t>
      </w:r>
      <w:r w:rsidRPr="00310C67">
        <w:rPr>
          <w:noProof/>
        </w:rPr>
        <w:t xml:space="preserve"> are not adequate to satisfy the requirement that an </w:t>
      </w:r>
      <w:r>
        <w:rPr>
          <w:noProof/>
        </w:rPr>
        <w:t xml:space="preserve">ES </w:t>
      </w:r>
      <w:r w:rsidRPr="00310C67">
        <w:rPr>
          <w:noProof/>
        </w:rPr>
        <w:t>describe the nature of the consultation undertaken.</w:t>
      </w:r>
      <w:r w:rsidRPr="00B22663">
        <w:rPr>
          <w:b/>
          <w:noProof/>
        </w:rPr>
        <w:t xml:space="preserve"> </w:t>
      </w:r>
      <w:r w:rsidRPr="00940F8E">
        <w:rPr>
          <w:b/>
          <w:noProof/>
        </w:rPr>
        <w:t xml:space="preserve">The committee will </w:t>
      </w:r>
      <w:r>
        <w:rPr>
          <w:b/>
          <w:noProof/>
        </w:rPr>
        <w:t xml:space="preserve">therefore </w:t>
      </w:r>
      <w:r w:rsidRPr="00940F8E">
        <w:rPr>
          <w:b/>
          <w:noProof/>
        </w:rPr>
        <w:t xml:space="preserve">seek </w:t>
      </w:r>
      <w:r>
        <w:rPr>
          <w:b/>
          <w:noProof/>
        </w:rPr>
        <w:t>further information</w:t>
      </w:r>
      <w:r w:rsidRPr="00940F8E">
        <w:rPr>
          <w:b/>
          <w:noProof/>
        </w:rPr>
        <w:t xml:space="preserve"> from the minister and request that</w:t>
      </w:r>
      <w:r>
        <w:rPr>
          <w:b/>
          <w:noProof/>
        </w:rPr>
        <w:t xml:space="preserve"> </w:t>
      </w:r>
      <w:r w:rsidRPr="00940F8E">
        <w:rPr>
          <w:b/>
          <w:noProof/>
        </w:rPr>
        <w:t xml:space="preserve">the ES be updated in accordance with the requirements of the </w:t>
      </w:r>
      <w:r w:rsidRPr="00E2599D">
        <w:rPr>
          <w:b/>
          <w:i/>
          <w:noProof/>
        </w:rPr>
        <w:t>Legislative Instruments Act 2003</w:t>
      </w:r>
      <w:r>
        <w:rPr>
          <w:noProof/>
        </w:rPr>
        <w:t>.</w:t>
      </w:r>
    </w:p>
    <w:p w:rsidR="001E0AC1" w:rsidRDefault="001E0AC1" w:rsidP="001E0AC1">
      <w:pPr>
        <w:spacing w:after="0"/>
        <w:jc w:val="left"/>
        <w:rPr>
          <w:b/>
          <w:noProof/>
          <w:sz w:val="28"/>
        </w:rPr>
      </w:pPr>
      <w:r>
        <w:rPr>
          <w:noProof/>
        </w:rPr>
        <w:br w:type="page"/>
      </w:r>
    </w:p>
    <w:p w:rsidR="001E0AC1" w:rsidRPr="00B54538" w:rsidRDefault="001E0AC1" w:rsidP="009F02ED">
      <w:pPr>
        <w:pStyle w:val="Heading3"/>
      </w:pPr>
      <w:r w:rsidRPr="00310C67">
        <w:rPr>
          <w:noProof/>
        </w:rPr>
        <w:lastRenderedPageBreak/>
        <w:t>Fair Entitlements Guarantee Regulation 2012 [Select Legis</w:t>
      </w:r>
      <w:r>
        <w:rPr>
          <w:noProof/>
        </w:rPr>
        <w:t xml:space="preserve">lative Instrument 2012 No. 326] </w:t>
      </w:r>
      <w:r>
        <w:t>[F2012L02474]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1E0AC1" w:rsidRPr="00B54538" w:rsidTr="001E0AC1">
        <w:tc>
          <w:tcPr>
            <w:tcW w:w="2552" w:type="dxa"/>
          </w:tcPr>
          <w:p w:rsidR="001E0AC1" w:rsidRPr="003B6490" w:rsidRDefault="001E0AC1" w:rsidP="001E0AC1">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Purpose</w:t>
            </w:r>
          </w:p>
        </w:tc>
        <w:tc>
          <w:tcPr>
            <w:tcW w:w="6520" w:type="dxa"/>
          </w:tcPr>
          <w:p w:rsidR="001E0AC1" w:rsidRPr="003B6490" w:rsidRDefault="001E0AC1" w:rsidP="001E0AC1">
            <w:pPr>
              <w:pStyle w:val="letterheadbody"/>
              <w:spacing w:line="264" w:lineRule="auto"/>
              <w:ind w:left="0"/>
              <w:rPr>
                <w:rFonts w:ascii="Times New Roman" w:hAnsi="Times New Roman"/>
                <w:sz w:val="24"/>
                <w:szCs w:val="24"/>
              </w:rPr>
            </w:pPr>
            <w:r w:rsidRPr="00310C67">
              <w:rPr>
                <w:rFonts w:ascii="Times New Roman" w:hAnsi="Times New Roman"/>
                <w:noProof/>
                <w:sz w:val="24"/>
                <w:szCs w:val="24"/>
              </w:rPr>
              <w:t xml:space="preserve">Builds upon the scheme created by the </w:t>
            </w:r>
            <w:r w:rsidRPr="0052319D">
              <w:rPr>
                <w:rFonts w:ascii="Times New Roman" w:hAnsi="Times New Roman"/>
                <w:i/>
                <w:noProof/>
                <w:sz w:val="24"/>
                <w:szCs w:val="24"/>
              </w:rPr>
              <w:t>Fair Entitlements Guarantee Act 2012</w:t>
            </w:r>
            <w:r w:rsidRPr="00310C67">
              <w:rPr>
                <w:rFonts w:ascii="Times New Roman" w:hAnsi="Times New Roman"/>
                <w:noProof/>
                <w:sz w:val="24"/>
                <w:szCs w:val="24"/>
              </w:rPr>
              <w:t xml:space="preserve"> to create a scheme to allow for financial assistance to be advanced to contract outworkers in the textile, clothing and footwear in</w:t>
            </w:r>
            <w:r>
              <w:rPr>
                <w:rFonts w:ascii="Times New Roman" w:hAnsi="Times New Roman"/>
                <w:noProof/>
                <w:sz w:val="24"/>
                <w:szCs w:val="24"/>
              </w:rPr>
              <w:t>dustry in certain circumstances</w:t>
            </w:r>
          </w:p>
        </w:tc>
      </w:tr>
      <w:tr w:rsidR="001E0AC1" w:rsidRPr="00B54538" w:rsidTr="001E0AC1">
        <w:tc>
          <w:tcPr>
            <w:tcW w:w="2552" w:type="dxa"/>
          </w:tcPr>
          <w:p w:rsidR="001E0AC1" w:rsidRPr="003B6490" w:rsidRDefault="001E0AC1" w:rsidP="001E0AC1">
            <w:pPr>
              <w:pStyle w:val="letterheadbody"/>
              <w:spacing w:line="264" w:lineRule="auto"/>
              <w:ind w:left="0"/>
              <w:rPr>
                <w:rFonts w:ascii="Times New Roman" w:hAnsi="Times New Roman"/>
                <w:sz w:val="24"/>
                <w:szCs w:val="24"/>
              </w:rPr>
            </w:pPr>
            <w:r>
              <w:rPr>
                <w:rFonts w:ascii="Times New Roman" w:hAnsi="Times New Roman"/>
                <w:b/>
                <w:sz w:val="24"/>
                <w:szCs w:val="24"/>
              </w:rPr>
              <w:t>Last day to disallow</w:t>
            </w:r>
          </w:p>
        </w:tc>
        <w:tc>
          <w:tcPr>
            <w:tcW w:w="6520" w:type="dxa"/>
          </w:tcPr>
          <w:p w:rsidR="001E0AC1" w:rsidRPr="003B6490" w:rsidRDefault="001E0AC1" w:rsidP="001E0AC1">
            <w:pPr>
              <w:pStyle w:val="letterheadbody"/>
              <w:spacing w:line="264" w:lineRule="auto"/>
              <w:ind w:left="0"/>
              <w:rPr>
                <w:rFonts w:ascii="Times New Roman" w:hAnsi="Times New Roman"/>
                <w:sz w:val="24"/>
                <w:szCs w:val="24"/>
              </w:rPr>
            </w:pPr>
            <w:r>
              <w:rPr>
                <w:rFonts w:ascii="Times New Roman" w:hAnsi="Times New Roman"/>
                <w:sz w:val="24"/>
                <w:szCs w:val="24"/>
              </w:rPr>
              <w:t>15 May 2013</w:t>
            </w:r>
          </w:p>
        </w:tc>
      </w:tr>
      <w:tr w:rsidR="001E0AC1" w:rsidRPr="00B54538" w:rsidTr="001E0AC1">
        <w:tc>
          <w:tcPr>
            <w:tcW w:w="2552" w:type="dxa"/>
          </w:tcPr>
          <w:p w:rsidR="001E0AC1" w:rsidRPr="003B6490" w:rsidRDefault="001E0AC1" w:rsidP="001E0AC1">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Authorising legislation</w:t>
            </w:r>
          </w:p>
        </w:tc>
        <w:tc>
          <w:tcPr>
            <w:tcW w:w="6520" w:type="dxa"/>
          </w:tcPr>
          <w:p w:rsidR="001E0AC1" w:rsidRPr="00B22663" w:rsidRDefault="001E0AC1" w:rsidP="001E0AC1">
            <w:pPr>
              <w:pStyle w:val="letterheadbody"/>
              <w:spacing w:line="264" w:lineRule="auto"/>
              <w:ind w:left="0"/>
              <w:rPr>
                <w:rFonts w:ascii="Times New Roman" w:hAnsi="Times New Roman"/>
                <w:i/>
                <w:sz w:val="24"/>
                <w:szCs w:val="24"/>
              </w:rPr>
            </w:pPr>
            <w:r w:rsidRPr="00B22663">
              <w:rPr>
                <w:rFonts w:ascii="Times New Roman" w:hAnsi="Times New Roman"/>
                <w:i/>
                <w:noProof/>
                <w:sz w:val="24"/>
                <w:szCs w:val="24"/>
              </w:rPr>
              <w:t>Fair Entitlements Guarantee Act 2012</w:t>
            </w:r>
          </w:p>
        </w:tc>
      </w:tr>
      <w:tr w:rsidR="001E0AC1" w:rsidRPr="00B54538" w:rsidTr="001E0AC1">
        <w:tc>
          <w:tcPr>
            <w:tcW w:w="2552" w:type="dxa"/>
          </w:tcPr>
          <w:p w:rsidR="001E0AC1" w:rsidRPr="003B6490" w:rsidRDefault="001E0AC1" w:rsidP="001E0AC1">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Department</w:t>
            </w:r>
          </w:p>
        </w:tc>
        <w:tc>
          <w:tcPr>
            <w:tcW w:w="6520" w:type="dxa"/>
          </w:tcPr>
          <w:p w:rsidR="001E0AC1" w:rsidRPr="003B6490" w:rsidRDefault="001E0AC1" w:rsidP="001E0AC1">
            <w:pPr>
              <w:pStyle w:val="letterheadbody"/>
              <w:spacing w:line="264" w:lineRule="auto"/>
              <w:ind w:left="0"/>
              <w:rPr>
                <w:rFonts w:ascii="Times New Roman" w:hAnsi="Times New Roman"/>
                <w:sz w:val="24"/>
                <w:szCs w:val="24"/>
              </w:rPr>
            </w:pPr>
            <w:r w:rsidRPr="00310C67">
              <w:rPr>
                <w:rFonts w:ascii="Times New Roman" w:hAnsi="Times New Roman"/>
                <w:noProof/>
                <w:sz w:val="24"/>
                <w:szCs w:val="24"/>
              </w:rPr>
              <w:t>Education, Employment and Workplace Relations</w:t>
            </w:r>
          </w:p>
        </w:tc>
      </w:tr>
    </w:tbl>
    <w:p w:rsidR="001E0AC1" w:rsidRPr="00B54538" w:rsidRDefault="001E0AC1" w:rsidP="001E0AC1">
      <w:pPr>
        <w:spacing w:after="0"/>
        <w:rPr>
          <w:szCs w:val="26"/>
        </w:rPr>
      </w:pPr>
    </w:p>
    <w:p w:rsidR="001E0AC1" w:rsidRDefault="001E0AC1" w:rsidP="001E0AC1">
      <w:pPr>
        <w:spacing w:after="0"/>
        <w:rPr>
          <w:b/>
          <w:szCs w:val="26"/>
        </w:rPr>
      </w:pPr>
      <w:r>
        <w:rPr>
          <w:b/>
          <w:szCs w:val="26"/>
        </w:rPr>
        <w:t>ISSUE:</w:t>
      </w:r>
    </w:p>
    <w:p w:rsidR="001E0AC1" w:rsidRPr="00B54538" w:rsidRDefault="001E0AC1" w:rsidP="001E0AC1">
      <w:pPr>
        <w:pStyle w:val="Heading4"/>
        <w:numPr>
          <w:ilvl w:val="3"/>
          <w:numId w:val="21"/>
        </w:numPr>
        <w:spacing w:before="120" w:after="120"/>
        <w:rPr>
          <w:noProof/>
        </w:rPr>
      </w:pPr>
      <w:r w:rsidRPr="00310C67">
        <w:rPr>
          <w:noProof/>
        </w:rPr>
        <w:t>Insufficient explanation provided in relation to consultation</w:t>
      </w:r>
    </w:p>
    <w:p w:rsidR="001E0AC1" w:rsidRPr="00310C67" w:rsidRDefault="001E0AC1" w:rsidP="001E0AC1">
      <w:pPr>
        <w:pStyle w:val="Level1"/>
        <w:numPr>
          <w:ilvl w:val="0"/>
          <w:numId w:val="0"/>
        </w:numPr>
        <w:rPr>
          <w:noProof/>
        </w:rPr>
      </w:pPr>
      <w:r w:rsidRPr="00E2599D">
        <w:rPr>
          <w:noProof/>
        </w:rPr>
        <w:t xml:space="preserve">Section 17 of the </w:t>
      </w:r>
      <w:r w:rsidRPr="00E2599D">
        <w:rPr>
          <w:i/>
          <w:noProof/>
        </w:rPr>
        <w:t>Legislative Instruments Act 2003</w:t>
      </w:r>
      <w:r w:rsidRPr="00E2599D">
        <w:rPr>
          <w:noProof/>
        </w:rPr>
        <w:t xml:space="preserve"> 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ES which must accompany an instrument is required to describe the nature of any consultation that has been carried out or, if there has been no consultation, to explain w</w:t>
      </w:r>
      <w:r>
        <w:rPr>
          <w:noProof/>
        </w:rPr>
        <w:t>hy none was undertaken (section </w:t>
      </w:r>
      <w:r w:rsidRPr="00E2599D">
        <w:rPr>
          <w:noProof/>
        </w:rPr>
        <w:t>26).</w:t>
      </w:r>
      <w:r>
        <w:rPr>
          <w:noProof/>
        </w:rPr>
        <w:t xml:space="preserve"> </w:t>
      </w:r>
      <w:r w:rsidRPr="00E2599D">
        <w:rPr>
          <w:noProof/>
          <w:szCs w:val="26"/>
        </w:rPr>
        <w:t xml:space="preserve">With reference to these requirements, the committee notes that the ES </w:t>
      </w:r>
      <w:r>
        <w:rPr>
          <w:noProof/>
          <w:szCs w:val="26"/>
        </w:rPr>
        <w:t xml:space="preserve">for </w:t>
      </w:r>
      <w:r w:rsidRPr="00E2599D">
        <w:rPr>
          <w:noProof/>
          <w:szCs w:val="26"/>
        </w:rPr>
        <w:t>the instrument state</w:t>
      </w:r>
      <w:r>
        <w:rPr>
          <w:noProof/>
          <w:szCs w:val="26"/>
        </w:rPr>
        <w:t>s</w:t>
      </w:r>
      <w:r w:rsidRPr="00E2599D">
        <w:rPr>
          <w:noProof/>
          <w:szCs w:val="26"/>
        </w:rPr>
        <w:t xml:space="preserve"> only </w:t>
      </w:r>
      <w:r w:rsidRPr="00310C67">
        <w:rPr>
          <w:noProof/>
        </w:rPr>
        <w:t xml:space="preserve">that representatives from 'employer and employee groups were consulted in relation to this regulation'. The committee </w:t>
      </w:r>
      <w:r>
        <w:rPr>
          <w:noProof/>
        </w:rPr>
        <w:t xml:space="preserve">generally </w:t>
      </w:r>
      <w:r w:rsidRPr="00310C67">
        <w:rPr>
          <w:noProof/>
        </w:rPr>
        <w:t>take</w:t>
      </w:r>
      <w:r>
        <w:rPr>
          <w:noProof/>
        </w:rPr>
        <w:t>s</w:t>
      </w:r>
      <w:r w:rsidRPr="00310C67">
        <w:rPr>
          <w:noProof/>
        </w:rPr>
        <w:t xml:space="preserve"> the view that overly bare or general descriptions</w:t>
      </w:r>
      <w:r>
        <w:rPr>
          <w:noProof/>
        </w:rPr>
        <w:t>,</w:t>
      </w:r>
      <w:r w:rsidRPr="00310C67">
        <w:rPr>
          <w:noProof/>
        </w:rPr>
        <w:t xml:space="preserve"> such as this</w:t>
      </w:r>
      <w:r>
        <w:rPr>
          <w:noProof/>
        </w:rPr>
        <w:t>,</w:t>
      </w:r>
      <w:r w:rsidRPr="00310C67">
        <w:rPr>
          <w:noProof/>
        </w:rPr>
        <w:t xml:space="preserve"> are not adequate to satisfy the requirement that an </w:t>
      </w:r>
      <w:r>
        <w:rPr>
          <w:noProof/>
        </w:rPr>
        <w:t xml:space="preserve">ES </w:t>
      </w:r>
      <w:r w:rsidRPr="00310C67">
        <w:rPr>
          <w:noProof/>
        </w:rPr>
        <w:t>describe the nature of the consultation undertaken</w:t>
      </w:r>
      <w:r>
        <w:rPr>
          <w:noProof/>
        </w:rPr>
        <w:t xml:space="preserve">. </w:t>
      </w:r>
      <w:r w:rsidRPr="00940F8E">
        <w:rPr>
          <w:b/>
          <w:noProof/>
        </w:rPr>
        <w:t xml:space="preserve">The committee will </w:t>
      </w:r>
      <w:r>
        <w:rPr>
          <w:b/>
          <w:noProof/>
        </w:rPr>
        <w:t xml:space="preserve">therefore </w:t>
      </w:r>
      <w:r w:rsidRPr="00940F8E">
        <w:rPr>
          <w:b/>
          <w:noProof/>
        </w:rPr>
        <w:t xml:space="preserve">seek </w:t>
      </w:r>
      <w:r>
        <w:rPr>
          <w:b/>
          <w:noProof/>
        </w:rPr>
        <w:t>further information</w:t>
      </w:r>
      <w:r w:rsidRPr="00940F8E">
        <w:rPr>
          <w:b/>
          <w:noProof/>
        </w:rPr>
        <w:t xml:space="preserve"> from the minister and request that</w:t>
      </w:r>
      <w:r>
        <w:rPr>
          <w:b/>
          <w:noProof/>
        </w:rPr>
        <w:t xml:space="preserve"> </w:t>
      </w:r>
      <w:r w:rsidRPr="00940F8E">
        <w:rPr>
          <w:b/>
          <w:noProof/>
        </w:rPr>
        <w:t xml:space="preserve">the ES be updated in accordance with the requirements of the </w:t>
      </w:r>
      <w:r w:rsidRPr="00E2599D">
        <w:rPr>
          <w:b/>
          <w:i/>
          <w:noProof/>
        </w:rPr>
        <w:t>Legislative Instruments Act 2003</w:t>
      </w:r>
      <w:r>
        <w:rPr>
          <w:noProof/>
        </w:rPr>
        <w:t>.</w:t>
      </w:r>
    </w:p>
    <w:p w:rsidR="001E0AC1" w:rsidRPr="00B54538" w:rsidRDefault="001E0AC1" w:rsidP="001E0AC1">
      <w:pPr>
        <w:pStyle w:val="Heading3"/>
        <w:spacing w:before="600"/>
      </w:pPr>
      <w:r w:rsidRPr="00310C67">
        <w:rPr>
          <w:noProof/>
        </w:rPr>
        <w:t xml:space="preserve">Family Law Amendment Rules 2012 (No. 2) [Select Legislative Instrument 2012 No. 331] </w:t>
      </w:r>
      <w:r w:rsidRPr="000E6FB5">
        <w:t>[F2012L02577]</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1E0AC1" w:rsidRPr="00B54538" w:rsidTr="001E0AC1">
        <w:tc>
          <w:tcPr>
            <w:tcW w:w="2552" w:type="dxa"/>
          </w:tcPr>
          <w:p w:rsidR="001E0AC1" w:rsidRPr="003B6490" w:rsidRDefault="001E0AC1" w:rsidP="001E0AC1">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Purpose</w:t>
            </w:r>
          </w:p>
        </w:tc>
        <w:tc>
          <w:tcPr>
            <w:tcW w:w="6520" w:type="dxa"/>
          </w:tcPr>
          <w:p w:rsidR="001E0AC1" w:rsidRPr="003B6490" w:rsidRDefault="001E0AC1" w:rsidP="001E0AC1">
            <w:pPr>
              <w:pStyle w:val="letterheadbody"/>
              <w:spacing w:line="264" w:lineRule="auto"/>
              <w:ind w:left="0"/>
              <w:rPr>
                <w:rFonts w:ascii="Times New Roman" w:hAnsi="Times New Roman"/>
                <w:sz w:val="24"/>
                <w:szCs w:val="24"/>
              </w:rPr>
            </w:pPr>
            <w:r w:rsidRPr="00310C67">
              <w:rPr>
                <w:rFonts w:ascii="Times New Roman" w:hAnsi="Times New Roman"/>
                <w:noProof/>
                <w:sz w:val="24"/>
                <w:szCs w:val="24"/>
              </w:rPr>
              <w:t>Amend</w:t>
            </w:r>
            <w:r>
              <w:rPr>
                <w:rFonts w:ascii="Times New Roman" w:hAnsi="Times New Roman"/>
                <w:noProof/>
                <w:sz w:val="24"/>
                <w:szCs w:val="24"/>
              </w:rPr>
              <w:t>s</w:t>
            </w:r>
            <w:r w:rsidRPr="00310C67">
              <w:rPr>
                <w:rFonts w:ascii="Times New Roman" w:hAnsi="Times New Roman"/>
                <w:noProof/>
                <w:sz w:val="24"/>
                <w:szCs w:val="24"/>
              </w:rPr>
              <w:t xml:space="preserve"> the Family Law Rules 2004</w:t>
            </w:r>
          </w:p>
        </w:tc>
      </w:tr>
      <w:tr w:rsidR="001E0AC1" w:rsidRPr="00B54538" w:rsidTr="001E0AC1">
        <w:tc>
          <w:tcPr>
            <w:tcW w:w="2552" w:type="dxa"/>
          </w:tcPr>
          <w:p w:rsidR="001E0AC1" w:rsidRPr="003B6490" w:rsidRDefault="001E0AC1" w:rsidP="001E0AC1">
            <w:pPr>
              <w:pStyle w:val="letterheadbody"/>
              <w:spacing w:line="264" w:lineRule="auto"/>
              <w:ind w:left="0"/>
              <w:rPr>
                <w:rFonts w:ascii="Times New Roman" w:hAnsi="Times New Roman"/>
                <w:sz w:val="24"/>
                <w:szCs w:val="24"/>
              </w:rPr>
            </w:pPr>
            <w:r>
              <w:rPr>
                <w:rFonts w:ascii="Times New Roman" w:hAnsi="Times New Roman"/>
                <w:b/>
                <w:sz w:val="24"/>
                <w:szCs w:val="24"/>
              </w:rPr>
              <w:t>Last day to disallow</w:t>
            </w:r>
          </w:p>
        </w:tc>
        <w:tc>
          <w:tcPr>
            <w:tcW w:w="6520" w:type="dxa"/>
          </w:tcPr>
          <w:p w:rsidR="001E0AC1" w:rsidRPr="003B6490" w:rsidRDefault="001E0AC1" w:rsidP="001E0AC1">
            <w:pPr>
              <w:pStyle w:val="letterheadbody"/>
              <w:spacing w:line="264" w:lineRule="auto"/>
              <w:ind w:left="0"/>
              <w:rPr>
                <w:rFonts w:ascii="Times New Roman" w:hAnsi="Times New Roman"/>
                <w:sz w:val="24"/>
                <w:szCs w:val="24"/>
              </w:rPr>
            </w:pPr>
            <w:r>
              <w:rPr>
                <w:rFonts w:ascii="Times New Roman" w:hAnsi="Times New Roman"/>
                <w:sz w:val="24"/>
                <w:szCs w:val="24"/>
              </w:rPr>
              <w:t>15 May 2013</w:t>
            </w:r>
          </w:p>
        </w:tc>
      </w:tr>
      <w:tr w:rsidR="001E0AC1" w:rsidRPr="00B54538" w:rsidTr="001E0AC1">
        <w:tc>
          <w:tcPr>
            <w:tcW w:w="2552" w:type="dxa"/>
          </w:tcPr>
          <w:p w:rsidR="001E0AC1" w:rsidRPr="003B6490" w:rsidRDefault="001E0AC1" w:rsidP="001E0AC1">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Authorising legislation</w:t>
            </w:r>
          </w:p>
        </w:tc>
        <w:tc>
          <w:tcPr>
            <w:tcW w:w="6520" w:type="dxa"/>
          </w:tcPr>
          <w:p w:rsidR="001E0AC1" w:rsidRPr="002A61EA" w:rsidRDefault="001E0AC1" w:rsidP="001E0AC1">
            <w:pPr>
              <w:pStyle w:val="letterheadbody"/>
              <w:spacing w:line="264" w:lineRule="auto"/>
              <w:ind w:left="0"/>
              <w:rPr>
                <w:rFonts w:ascii="Times New Roman" w:hAnsi="Times New Roman"/>
                <w:i/>
                <w:sz w:val="24"/>
                <w:szCs w:val="24"/>
              </w:rPr>
            </w:pPr>
            <w:r w:rsidRPr="002A61EA">
              <w:rPr>
                <w:rFonts w:ascii="Times New Roman" w:hAnsi="Times New Roman"/>
                <w:i/>
                <w:noProof/>
                <w:sz w:val="24"/>
                <w:szCs w:val="24"/>
              </w:rPr>
              <w:t>Family Law Act 1975</w:t>
            </w:r>
          </w:p>
        </w:tc>
      </w:tr>
      <w:tr w:rsidR="001E0AC1" w:rsidRPr="00B54538" w:rsidTr="001E0AC1">
        <w:tc>
          <w:tcPr>
            <w:tcW w:w="2552" w:type="dxa"/>
          </w:tcPr>
          <w:p w:rsidR="001E0AC1" w:rsidRPr="003B6490" w:rsidRDefault="001E0AC1" w:rsidP="001E0AC1">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Department</w:t>
            </w:r>
          </w:p>
        </w:tc>
        <w:tc>
          <w:tcPr>
            <w:tcW w:w="6520" w:type="dxa"/>
          </w:tcPr>
          <w:p w:rsidR="001E0AC1" w:rsidRPr="003B6490" w:rsidRDefault="001E0AC1" w:rsidP="001E0AC1">
            <w:pPr>
              <w:pStyle w:val="letterheadbody"/>
              <w:spacing w:line="264" w:lineRule="auto"/>
              <w:ind w:left="0"/>
              <w:rPr>
                <w:rFonts w:ascii="Times New Roman" w:hAnsi="Times New Roman"/>
                <w:sz w:val="24"/>
                <w:szCs w:val="24"/>
              </w:rPr>
            </w:pPr>
            <w:r w:rsidRPr="00310C67">
              <w:rPr>
                <w:rFonts w:ascii="Times New Roman" w:hAnsi="Times New Roman"/>
                <w:noProof/>
                <w:sz w:val="24"/>
                <w:szCs w:val="24"/>
              </w:rPr>
              <w:t>Attorney-General's</w:t>
            </w:r>
          </w:p>
        </w:tc>
      </w:tr>
    </w:tbl>
    <w:p w:rsidR="001E0AC1" w:rsidRPr="00B54538" w:rsidRDefault="001E0AC1" w:rsidP="001E0AC1">
      <w:pPr>
        <w:spacing w:after="0"/>
        <w:rPr>
          <w:szCs w:val="26"/>
        </w:rPr>
      </w:pPr>
    </w:p>
    <w:p w:rsidR="001E0AC1" w:rsidRDefault="001E0AC1" w:rsidP="001E0AC1">
      <w:pPr>
        <w:spacing w:after="0"/>
        <w:rPr>
          <w:b/>
          <w:szCs w:val="26"/>
        </w:rPr>
      </w:pPr>
      <w:r w:rsidRPr="00B54538">
        <w:rPr>
          <w:b/>
          <w:szCs w:val="26"/>
        </w:rPr>
        <w:t>ISS</w:t>
      </w:r>
      <w:r>
        <w:rPr>
          <w:b/>
          <w:szCs w:val="26"/>
        </w:rPr>
        <w:t>UE:</w:t>
      </w:r>
    </w:p>
    <w:p w:rsidR="001E0AC1" w:rsidRPr="00B54538" w:rsidRDefault="001E0AC1" w:rsidP="001E0AC1">
      <w:pPr>
        <w:pStyle w:val="Heading4"/>
        <w:numPr>
          <w:ilvl w:val="3"/>
          <w:numId w:val="21"/>
        </w:numPr>
        <w:spacing w:before="120" w:after="120"/>
        <w:rPr>
          <w:noProof/>
        </w:rPr>
      </w:pPr>
      <w:r w:rsidRPr="00310C67">
        <w:rPr>
          <w:noProof/>
        </w:rPr>
        <w:t>Unclear basis for calculation of fee increase</w:t>
      </w:r>
    </w:p>
    <w:p w:rsidR="001E0AC1" w:rsidRDefault="001E0AC1" w:rsidP="001E0AC1">
      <w:pPr>
        <w:pStyle w:val="Level1"/>
        <w:numPr>
          <w:ilvl w:val="0"/>
          <w:numId w:val="0"/>
        </w:numPr>
        <w:rPr>
          <w:noProof/>
        </w:rPr>
      </w:pPr>
      <w:r w:rsidRPr="00310C67">
        <w:rPr>
          <w:noProof/>
        </w:rPr>
        <w:t>The instrument introduces a uniform increase of 2.7</w:t>
      </w:r>
      <w:r>
        <w:rPr>
          <w:noProof/>
        </w:rPr>
        <w:t xml:space="preserve"> per cent </w:t>
      </w:r>
      <w:r w:rsidRPr="00310C67">
        <w:rPr>
          <w:noProof/>
        </w:rPr>
        <w:t>to all items in the Itemised Scale of Costs. While the ES states that the increase is 'in conformity with the increase approved nationally by all superior courts', it does not explain the basis on which the increase has been set or calculated.</w:t>
      </w:r>
      <w:r>
        <w:rPr>
          <w:noProof/>
        </w:rPr>
        <w:t xml:space="preserve"> </w:t>
      </w:r>
      <w:r w:rsidRPr="00940F8E">
        <w:rPr>
          <w:b/>
          <w:noProof/>
        </w:rPr>
        <w:t xml:space="preserve">The committee will </w:t>
      </w:r>
      <w:r>
        <w:rPr>
          <w:b/>
          <w:noProof/>
        </w:rPr>
        <w:t xml:space="preserve">therefore </w:t>
      </w:r>
      <w:r w:rsidRPr="00940F8E">
        <w:rPr>
          <w:b/>
          <w:noProof/>
        </w:rPr>
        <w:t xml:space="preserve">seek </w:t>
      </w:r>
      <w:r>
        <w:rPr>
          <w:b/>
          <w:noProof/>
        </w:rPr>
        <w:t>further information</w:t>
      </w:r>
      <w:r w:rsidRPr="00940F8E">
        <w:rPr>
          <w:b/>
          <w:noProof/>
        </w:rPr>
        <w:t xml:space="preserve"> from the </w:t>
      </w:r>
      <w:r>
        <w:rPr>
          <w:b/>
          <w:noProof/>
        </w:rPr>
        <w:t>Chief Justice</w:t>
      </w:r>
      <w:r>
        <w:rPr>
          <w:noProof/>
        </w:rPr>
        <w:t>.</w:t>
      </w:r>
    </w:p>
    <w:p w:rsidR="001E0AC1" w:rsidRPr="00B54538" w:rsidRDefault="001E0AC1" w:rsidP="009F02ED">
      <w:pPr>
        <w:pStyle w:val="Heading3"/>
        <w:spacing w:before="480"/>
      </w:pPr>
      <w:r w:rsidRPr="00310C67">
        <w:rPr>
          <w:noProof/>
        </w:rPr>
        <w:lastRenderedPageBreak/>
        <w:t>Health Insurance (Diagnostic Imaging Capital Sensitivity) Amendment Determination 2012 (No. 3)</w:t>
      </w:r>
      <w:r>
        <w:rPr>
          <w:noProof/>
        </w:rPr>
        <w:t xml:space="preserve"> </w:t>
      </w:r>
      <w:r w:rsidRPr="000E6FB5">
        <w:t>[F2012L02510]</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1E0AC1" w:rsidRPr="00B54538" w:rsidTr="001E0AC1">
        <w:tc>
          <w:tcPr>
            <w:tcW w:w="2552" w:type="dxa"/>
          </w:tcPr>
          <w:p w:rsidR="001E0AC1" w:rsidRPr="003B6490" w:rsidRDefault="001E0AC1" w:rsidP="001E0AC1">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Purpose</w:t>
            </w:r>
          </w:p>
        </w:tc>
        <w:tc>
          <w:tcPr>
            <w:tcW w:w="6520" w:type="dxa"/>
          </w:tcPr>
          <w:p w:rsidR="001E0AC1" w:rsidRPr="003B6490" w:rsidRDefault="001E0AC1" w:rsidP="001E0AC1">
            <w:pPr>
              <w:pStyle w:val="letterheadbody"/>
              <w:spacing w:line="264" w:lineRule="auto"/>
              <w:ind w:left="0"/>
              <w:rPr>
                <w:rFonts w:ascii="Times New Roman" w:hAnsi="Times New Roman"/>
                <w:sz w:val="24"/>
                <w:szCs w:val="24"/>
              </w:rPr>
            </w:pPr>
            <w:r w:rsidRPr="00310C67">
              <w:rPr>
                <w:rFonts w:ascii="Times New Roman" w:hAnsi="Times New Roman"/>
                <w:noProof/>
                <w:sz w:val="24"/>
                <w:szCs w:val="24"/>
              </w:rPr>
              <w:t xml:space="preserve">Amends the Health Insurance (Diagnostic Imaging Capital Sensitivity) Determination 2011 to correct a drafting error in the description of item 63514 </w:t>
            </w:r>
            <w:r>
              <w:rPr>
                <w:rFonts w:ascii="Times New Roman" w:hAnsi="Times New Roman"/>
                <w:noProof/>
                <w:sz w:val="24"/>
                <w:szCs w:val="24"/>
              </w:rPr>
              <w:t xml:space="preserve">to </w:t>
            </w:r>
            <w:r w:rsidRPr="00310C67">
              <w:rPr>
                <w:rFonts w:ascii="Times New Roman" w:hAnsi="Times New Roman"/>
                <w:noProof/>
                <w:sz w:val="24"/>
                <w:szCs w:val="24"/>
              </w:rPr>
              <w:t>clarif</w:t>
            </w:r>
            <w:r>
              <w:rPr>
                <w:rFonts w:ascii="Times New Roman" w:hAnsi="Times New Roman"/>
                <w:noProof/>
                <w:sz w:val="24"/>
                <w:szCs w:val="24"/>
              </w:rPr>
              <w:t>y</w:t>
            </w:r>
            <w:r w:rsidRPr="00310C67">
              <w:rPr>
                <w:rFonts w:ascii="Times New Roman" w:hAnsi="Times New Roman"/>
                <w:noProof/>
                <w:sz w:val="24"/>
                <w:szCs w:val="24"/>
              </w:rPr>
              <w:t xml:space="preserve"> that the use of anaesthetic and contrast is permissible where a General Practitioner requests an MRI knee scan for a </w:t>
            </w:r>
            <w:r>
              <w:rPr>
                <w:rFonts w:ascii="Times New Roman" w:hAnsi="Times New Roman"/>
                <w:noProof/>
                <w:sz w:val="24"/>
                <w:szCs w:val="24"/>
              </w:rPr>
              <w:t>child under the age of 16 years</w:t>
            </w:r>
          </w:p>
        </w:tc>
      </w:tr>
      <w:tr w:rsidR="001E0AC1" w:rsidRPr="00B54538" w:rsidTr="001E0AC1">
        <w:tc>
          <w:tcPr>
            <w:tcW w:w="2552" w:type="dxa"/>
          </w:tcPr>
          <w:p w:rsidR="001E0AC1" w:rsidRPr="003B6490" w:rsidRDefault="001E0AC1" w:rsidP="001E0AC1">
            <w:pPr>
              <w:pStyle w:val="letterheadbody"/>
              <w:spacing w:line="264" w:lineRule="auto"/>
              <w:ind w:left="0"/>
              <w:rPr>
                <w:rFonts w:ascii="Times New Roman" w:hAnsi="Times New Roman"/>
                <w:sz w:val="24"/>
                <w:szCs w:val="24"/>
              </w:rPr>
            </w:pPr>
            <w:r>
              <w:rPr>
                <w:rFonts w:ascii="Times New Roman" w:hAnsi="Times New Roman"/>
                <w:b/>
                <w:sz w:val="24"/>
                <w:szCs w:val="24"/>
              </w:rPr>
              <w:t>Last day to disallow</w:t>
            </w:r>
          </w:p>
        </w:tc>
        <w:tc>
          <w:tcPr>
            <w:tcW w:w="6520" w:type="dxa"/>
          </w:tcPr>
          <w:p w:rsidR="001E0AC1" w:rsidRPr="003B6490" w:rsidRDefault="001E0AC1" w:rsidP="001E0AC1">
            <w:pPr>
              <w:pStyle w:val="letterheadbody"/>
              <w:spacing w:line="264" w:lineRule="auto"/>
              <w:ind w:left="0"/>
              <w:rPr>
                <w:rFonts w:ascii="Times New Roman" w:hAnsi="Times New Roman"/>
                <w:sz w:val="24"/>
                <w:szCs w:val="24"/>
              </w:rPr>
            </w:pPr>
            <w:r>
              <w:rPr>
                <w:rFonts w:ascii="Times New Roman" w:hAnsi="Times New Roman"/>
                <w:sz w:val="24"/>
                <w:szCs w:val="24"/>
              </w:rPr>
              <w:t>15 May 2013</w:t>
            </w:r>
          </w:p>
        </w:tc>
      </w:tr>
      <w:tr w:rsidR="001E0AC1" w:rsidRPr="00B54538" w:rsidTr="001E0AC1">
        <w:tc>
          <w:tcPr>
            <w:tcW w:w="2552" w:type="dxa"/>
          </w:tcPr>
          <w:p w:rsidR="001E0AC1" w:rsidRPr="003B6490" w:rsidRDefault="001E0AC1" w:rsidP="001E0AC1">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Authorising legislation</w:t>
            </w:r>
          </w:p>
        </w:tc>
        <w:tc>
          <w:tcPr>
            <w:tcW w:w="6520" w:type="dxa"/>
          </w:tcPr>
          <w:p w:rsidR="001E0AC1" w:rsidRPr="00895565" w:rsidRDefault="001E0AC1" w:rsidP="001E0AC1">
            <w:pPr>
              <w:pStyle w:val="letterheadbody"/>
              <w:spacing w:line="264" w:lineRule="auto"/>
              <w:ind w:left="0"/>
              <w:rPr>
                <w:rFonts w:ascii="Times New Roman" w:hAnsi="Times New Roman"/>
                <w:i/>
                <w:sz w:val="24"/>
                <w:szCs w:val="24"/>
              </w:rPr>
            </w:pPr>
            <w:r w:rsidRPr="00895565">
              <w:rPr>
                <w:rFonts w:ascii="Times New Roman" w:hAnsi="Times New Roman"/>
                <w:i/>
                <w:noProof/>
                <w:sz w:val="24"/>
                <w:szCs w:val="24"/>
              </w:rPr>
              <w:t>Health Insurance Act 1973</w:t>
            </w:r>
          </w:p>
        </w:tc>
      </w:tr>
      <w:tr w:rsidR="001E0AC1" w:rsidRPr="00B54538" w:rsidTr="001E0AC1">
        <w:tc>
          <w:tcPr>
            <w:tcW w:w="2552" w:type="dxa"/>
          </w:tcPr>
          <w:p w:rsidR="001E0AC1" w:rsidRPr="003B6490" w:rsidRDefault="001E0AC1" w:rsidP="001E0AC1">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Department</w:t>
            </w:r>
          </w:p>
        </w:tc>
        <w:tc>
          <w:tcPr>
            <w:tcW w:w="6520" w:type="dxa"/>
          </w:tcPr>
          <w:p w:rsidR="001E0AC1" w:rsidRPr="003B6490" w:rsidRDefault="001E0AC1" w:rsidP="001E0AC1">
            <w:pPr>
              <w:pStyle w:val="letterheadbody"/>
              <w:spacing w:line="264" w:lineRule="auto"/>
              <w:ind w:left="0"/>
              <w:rPr>
                <w:rFonts w:ascii="Times New Roman" w:hAnsi="Times New Roman"/>
                <w:sz w:val="24"/>
                <w:szCs w:val="24"/>
              </w:rPr>
            </w:pPr>
            <w:r w:rsidRPr="00310C67">
              <w:rPr>
                <w:rFonts w:ascii="Times New Roman" w:hAnsi="Times New Roman"/>
                <w:noProof/>
                <w:sz w:val="24"/>
                <w:szCs w:val="24"/>
              </w:rPr>
              <w:t>Health and Ageing</w:t>
            </w:r>
          </w:p>
        </w:tc>
      </w:tr>
    </w:tbl>
    <w:p w:rsidR="001E0AC1" w:rsidRPr="00B54538" w:rsidRDefault="001E0AC1" w:rsidP="001E0AC1">
      <w:pPr>
        <w:spacing w:after="0"/>
        <w:rPr>
          <w:szCs w:val="26"/>
        </w:rPr>
      </w:pPr>
    </w:p>
    <w:p w:rsidR="001E0AC1" w:rsidRDefault="001E0AC1" w:rsidP="001E0AC1">
      <w:pPr>
        <w:spacing w:after="0"/>
        <w:rPr>
          <w:b/>
          <w:szCs w:val="26"/>
        </w:rPr>
      </w:pPr>
      <w:r>
        <w:rPr>
          <w:b/>
          <w:szCs w:val="26"/>
        </w:rPr>
        <w:t>ISSUE:</w:t>
      </w:r>
    </w:p>
    <w:p w:rsidR="001E0AC1" w:rsidRPr="00895565" w:rsidRDefault="001E0AC1" w:rsidP="001E0AC1">
      <w:pPr>
        <w:pStyle w:val="Heading4"/>
        <w:numPr>
          <w:ilvl w:val="3"/>
          <w:numId w:val="21"/>
        </w:numPr>
        <w:spacing w:before="120" w:after="120"/>
      </w:pPr>
      <w:r w:rsidRPr="00310C67">
        <w:rPr>
          <w:noProof/>
        </w:rPr>
        <w:t>Whether any person disadvantaged by previous error</w:t>
      </w:r>
    </w:p>
    <w:p w:rsidR="001E0AC1" w:rsidRPr="00895565" w:rsidRDefault="001E0AC1" w:rsidP="001E0AC1">
      <w:pPr>
        <w:pStyle w:val="Level1"/>
        <w:numPr>
          <w:ilvl w:val="0"/>
          <w:numId w:val="0"/>
        </w:numPr>
        <w:rPr>
          <w:noProof/>
        </w:rPr>
      </w:pPr>
      <w:r w:rsidRPr="00310C67">
        <w:rPr>
          <w:noProof/>
        </w:rPr>
        <w:t>The instrument corrects an omission in the description of an item in the principal determination, which meant that the item did not, as intended, authorise the claiming of Medicare benefits for anaesthetic and contrast compounds used in diagnostic imaging. In such cases, the committee usually expect</w:t>
      </w:r>
      <w:r>
        <w:rPr>
          <w:noProof/>
        </w:rPr>
        <w:t>s</w:t>
      </w:r>
      <w:r w:rsidRPr="00310C67">
        <w:rPr>
          <w:noProof/>
        </w:rPr>
        <w:t xml:space="preserve"> an assurance that no person has been disadvantaged or, if they have, an explanation of what steps have been taken to address that disadvantage (for example, a person may have been out of pocket by not being able to claim the benefit for the anaesthetic and contrast compounds).</w:t>
      </w:r>
      <w:r>
        <w:rPr>
          <w:noProof/>
        </w:rPr>
        <w:t xml:space="preserve"> </w:t>
      </w:r>
      <w:r w:rsidRPr="00940F8E">
        <w:rPr>
          <w:b/>
          <w:noProof/>
        </w:rPr>
        <w:t xml:space="preserve">The committee will </w:t>
      </w:r>
      <w:r>
        <w:rPr>
          <w:b/>
          <w:noProof/>
        </w:rPr>
        <w:t xml:space="preserve">therefore </w:t>
      </w:r>
      <w:r w:rsidRPr="00940F8E">
        <w:rPr>
          <w:b/>
          <w:noProof/>
        </w:rPr>
        <w:t xml:space="preserve">seek </w:t>
      </w:r>
      <w:r>
        <w:rPr>
          <w:b/>
          <w:noProof/>
        </w:rPr>
        <w:t>further information</w:t>
      </w:r>
      <w:r w:rsidRPr="00940F8E">
        <w:rPr>
          <w:b/>
          <w:noProof/>
        </w:rPr>
        <w:t xml:space="preserve"> from the </w:t>
      </w:r>
      <w:r>
        <w:rPr>
          <w:b/>
          <w:noProof/>
        </w:rPr>
        <w:t>minister</w:t>
      </w:r>
      <w:r>
        <w:rPr>
          <w:noProof/>
        </w:rPr>
        <w:t>.</w:t>
      </w:r>
    </w:p>
    <w:p w:rsidR="001E0AC1" w:rsidRPr="00B54538" w:rsidRDefault="001E0AC1" w:rsidP="001E0AC1">
      <w:pPr>
        <w:pStyle w:val="Heading3"/>
        <w:spacing w:before="600"/>
      </w:pPr>
      <w:r w:rsidRPr="00310C67">
        <w:rPr>
          <w:noProof/>
        </w:rPr>
        <w:t>Native Title (Assistance from Attorney-General) Guideline 2012</w:t>
      </w:r>
      <w:r>
        <w:rPr>
          <w:noProof/>
        </w:rPr>
        <w:t xml:space="preserve"> </w:t>
      </w:r>
      <w:r w:rsidRPr="000E6FB5">
        <w:t>[F2012L02564]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1E0AC1" w:rsidRPr="00B54538" w:rsidTr="001E0AC1">
        <w:tc>
          <w:tcPr>
            <w:tcW w:w="2552" w:type="dxa"/>
          </w:tcPr>
          <w:p w:rsidR="001E0AC1" w:rsidRPr="003B6490" w:rsidRDefault="001E0AC1" w:rsidP="001E0AC1">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Purpose</w:t>
            </w:r>
          </w:p>
        </w:tc>
        <w:tc>
          <w:tcPr>
            <w:tcW w:w="6520" w:type="dxa"/>
          </w:tcPr>
          <w:p w:rsidR="001E0AC1" w:rsidRPr="003B6490" w:rsidRDefault="001E0AC1" w:rsidP="001E0AC1">
            <w:pPr>
              <w:pStyle w:val="letterheadbody"/>
              <w:spacing w:line="264" w:lineRule="auto"/>
              <w:ind w:left="0"/>
              <w:rPr>
                <w:rFonts w:ascii="Times New Roman" w:hAnsi="Times New Roman"/>
                <w:sz w:val="24"/>
                <w:szCs w:val="24"/>
              </w:rPr>
            </w:pPr>
            <w:r w:rsidRPr="00310C67">
              <w:rPr>
                <w:rFonts w:ascii="Times New Roman" w:hAnsi="Times New Roman"/>
                <w:noProof/>
                <w:sz w:val="24"/>
                <w:szCs w:val="24"/>
              </w:rPr>
              <w:t xml:space="preserve">To be applied in authorising the provision of assistance under section 213A of the </w:t>
            </w:r>
            <w:r w:rsidRPr="00895565">
              <w:rPr>
                <w:rFonts w:ascii="Times New Roman" w:hAnsi="Times New Roman"/>
                <w:i/>
                <w:noProof/>
                <w:sz w:val="24"/>
                <w:szCs w:val="24"/>
              </w:rPr>
              <w:t>Native Title Act 1993</w:t>
            </w:r>
          </w:p>
        </w:tc>
      </w:tr>
      <w:tr w:rsidR="001E0AC1" w:rsidRPr="00B54538" w:rsidTr="001E0AC1">
        <w:tc>
          <w:tcPr>
            <w:tcW w:w="2552" w:type="dxa"/>
          </w:tcPr>
          <w:p w:rsidR="001E0AC1" w:rsidRPr="003B6490" w:rsidRDefault="001E0AC1" w:rsidP="001E0AC1">
            <w:pPr>
              <w:pStyle w:val="letterheadbody"/>
              <w:spacing w:line="264" w:lineRule="auto"/>
              <w:ind w:left="0"/>
              <w:rPr>
                <w:rFonts w:ascii="Times New Roman" w:hAnsi="Times New Roman"/>
                <w:sz w:val="24"/>
                <w:szCs w:val="24"/>
              </w:rPr>
            </w:pPr>
            <w:r>
              <w:rPr>
                <w:rFonts w:ascii="Times New Roman" w:hAnsi="Times New Roman"/>
                <w:b/>
                <w:sz w:val="24"/>
                <w:szCs w:val="24"/>
              </w:rPr>
              <w:t>Last day to disallow</w:t>
            </w:r>
          </w:p>
        </w:tc>
        <w:tc>
          <w:tcPr>
            <w:tcW w:w="6520" w:type="dxa"/>
          </w:tcPr>
          <w:p w:rsidR="001E0AC1" w:rsidRPr="003B6490" w:rsidRDefault="001E0AC1" w:rsidP="001E0AC1">
            <w:pPr>
              <w:pStyle w:val="letterheadbody"/>
              <w:spacing w:line="264" w:lineRule="auto"/>
              <w:ind w:left="0"/>
              <w:rPr>
                <w:rFonts w:ascii="Times New Roman" w:hAnsi="Times New Roman"/>
                <w:sz w:val="24"/>
                <w:szCs w:val="24"/>
              </w:rPr>
            </w:pPr>
            <w:r>
              <w:rPr>
                <w:rFonts w:ascii="Times New Roman" w:hAnsi="Times New Roman"/>
                <w:sz w:val="24"/>
                <w:szCs w:val="24"/>
              </w:rPr>
              <w:t>15 May 2013</w:t>
            </w:r>
          </w:p>
        </w:tc>
      </w:tr>
      <w:tr w:rsidR="001E0AC1" w:rsidRPr="00B54538" w:rsidTr="001E0AC1">
        <w:tc>
          <w:tcPr>
            <w:tcW w:w="2552" w:type="dxa"/>
          </w:tcPr>
          <w:p w:rsidR="001E0AC1" w:rsidRPr="003B6490" w:rsidRDefault="001E0AC1" w:rsidP="001E0AC1">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Authorising legislation</w:t>
            </w:r>
          </w:p>
        </w:tc>
        <w:tc>
          <w:tcPr>
            <w:tcW w:w="6520" w:type="dxa"/>
          </w:tcPr>
          <w:p w:rsidR="001E0AC1" w:rsidRPr="00895565" w:rsidRDefault="001E0AC1" w:rsidP="001E0AC1">
            <w:pPr>
              <w:pStyle w:val="letterheadbody"/>
              <w:spacing w:line="264" w:lineRule="auto"/>
              <w:ind w:left="0"/>
              <w:rPr>
                <w:rFonts w:ascii="Times New Roman" w:hAnsi="Times New Roman"/>
                <w:i/>
                <w:sz w:val="24"/>
                <w:szCs w:val="24"/>
              </w:rPr>
            </w:pPr>
            <w:r w:rsidRPr="00895565">
              <w:rPr>
                <w:rFonts w:ascii="Times New Roman" w:hAnsi="Times New Roman"/>
                <w:i/>
                <w:noProof/>
                <w:sz w:val="24"/>
                <w:szCs w:val="24"/>
              </w:rPr>
              <w:t>Native Title Act 1993</w:t>
            </w:r>
          </w:p>
        </w:tc>
      </w:tr>
      <w:tr w:rsidR="001E0AC1" w:rsidRPr="00B54538" w:rsidTr="001E0AC1">
        <w:tc>
          <w:tcPr>
            <w:tcW w:w="2552" w:type="dxa"/>
          </w:tcPr>
          <w:p w:rsidR="001E0AC1" w:rsidRPr="003B6490" w:rsidRDefault="001E0AC1" w:rsidP="001E0AC1">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Department</w:t>
            </w:r>
          </w:p>
        </w:tc>
        <w:tc>
          <w:tcPr>
            <w:tcW w:w="6520" w:type="dxa"/>
          </w:tcPr>
          <w:p w:rsidR="001E0AC1" w:rsidRPr="003B6490" w:rsidRDefault="001E0AC1" w:rsidP="001E0AC1">
            <w:pPr>
              <w:pStyle w:val="letterheadbody"/>
              <w:spacing w:line="264" w:lineRule="auto"/>
              <w:ind w:left="0"/>
              <w:rPr>
                <w:rFonts w:ascii="Times New Roman" w:hAnsi="Times New Roman"/>
                <w:sz w:val="24"/>
                <w:szCs w:val="24"/>
              </w:rPr>
            </w:pPr>
            <w:r w:rsidRPr="00310C67">
              <w:rPr>
                <w:rFonts w:ascii="Times New Roman" w:hAnsi="Times New Roman"/>
                <w:noProof/>
                <w:sz w:val="24"/>
                <w:szCs w:val="24"/>
              </w:rPr>
              <w:t>Attorney-General's</w:t>
            </w:r>
          </w:p>
        </w:tc>
      </w:tr>
    </w:tbl>
    <w:p w:rsidR="001E0AC1" w:rsidRPr="00B54538" w:rsidRDefault="001E0AC1" w:rsidP="001E0AC1">
      <w:pPr>
        <w:spacing w:after="0"/>
        <w:rPr>
          <w:szCs w:val="26"/>
        </w:rPr>
      </w:pPr>
    </w:p>
    <w:p w:rsidR="001E0AC1" w:rsidRDefault="001E0AC1" w:rsidP="001E0AC1">
      <w:pPr>
        <w:spacing w:after="0"/>
        <w:rPr>
          <w:b/>
          <w:szCs w:val="26"/>
        </w:rPr>
      </w:pPr>
      <w:r>
        <w:rPr>
          <w:b/>
          <w:szCs w:val="26"/>
        </w:rPr>
        <w:t>ISSUE:</w:t>
      </w:r>
    </w:p>
    <w:p w:rsidR="001E0AC1" w:rsidRPr="00B54538" w:rsidRDefault="001E0AC1" w:rsidP="001E0AC1">
      <w:pPr>
        <w:pStyle w:val="Heading4"/>
        <w:numPr>
          <w:ilvl w:val="3"/>
          <w:numId w:val="21"/>
        </w:numPr>
        <w:spacing w:before="120" w:after="120"/>
        <w:rPr>
          <w:noProof/>
        </w:rPr>
      </w:pPr>
      <w:r w:rsidRPr="00310C67">
        <w:rPr>
          <w:noProof/>
        </w:rPr>
        <w:t>Unclear term</w:t>
      </w:r>
    </w:p>
    <w:p w:rsidR="001E0AC1" w:rsidRDefault="001E0AC1" w:rsidP="001E0AC1">
      <w:pPr>
        <w:pStyle w:val="Level1"/>
        <w:numPr>
          <w:ilvl w:val="0"/>
          <w:numId w:val="0"/>
        </w:numPr>
        <w:rPr>
          <w:noProof/>
        </w:rPr>
      </w:pPr>
      <w:r w:rsidRPr="00310C67">
        <w:rPr>
          <w:noProof/>
        </w:rPr>
        <w:t>Th</w:t>
      </w:r>
      <w:r>
        <w:rPr>
          <w:noProof/>
        </w:rPr>
        <w:t>e</w:t>
      </w:r>
      <w:r w:rsidRPr="00310C67">
        <w:rPr>
          <w:noProof/>
        </w:rPr>
        <w:t xml:space="preserve"> guideline sets out how the Attorney-General is to make decisions about providing financial assistance to native title claimants. Section 4.2 of the guideline provides that a decision maker must not authorise the provision of financial assistance for costs incurred before a complete application for assistance has been received unless there are 'exceptional circumstances'. However, there is no guidance or examples as to what might const</w:t>
      </w:r>
      <w:r>
        <w:rPr>
          <w:noProof/>
        </w:rPr>
        <w:t xml:space="preserve">itute exceptional circumstances, and the committee considers that this could be a potentially uncertain criteria. </w:t>
      </w:r>
      <w:r w:rsidRPr="00940F8E">
        <w:rPr>
          <w:b/>
          <w:noProof/>
        </w:rPr>
        <w:t xml:space="preserve">The committee will </w:t>
      </w:r>
      <w:r>
        <w:rPr>
          <w:b/>
          <w:noProof/>
        </w:rPr>
        <w:t xml:space="preserve">therefore </w:t>
      </w:r>
      <w:r w:rsidRPr="00940F8E">
        <w:rPr>
          <w:b/>
          <w:noProof/>
        </w:rPr>
        <w:t xml:space="preserve">seek </w:t>
      </w:r>
      <w:r>
        <w:rPr>
          <w:b/>
          <w:noProof/>
        </w:rPr>
        <w:t>further information</w:t>
      </w:r>
      <w:r w:rsidRPr="00940F8E">
        <w:rPr>
          <w:b/>
          <w:noProof/>
        </w:rPr>
        <w:t xml:space="preserve"> from the </w:t>
      </w:r>
      <w:r>
        <w:rPr>
          <w:b/>
          <w:noProof/>
        </w:rPr>
        <w:t>Attorney-General</w:t>
      </w:r>
      <w:r>
        <w:rPr>
          <w:noProof/>
        </w:rPr>
        <w:t>.</w:t>
      </w:r>
    </w:p>
    <w:p w:rsidR="001E0AC1" w:rsidRDefault="001E0AC1" w:rsidP="009F02ED">
      <w:pPr>
        <w:pStyle w:val="Heading3"/>
        <w:spacing w:before="480"/>
        <w:rPr>
          <w:noProof/>
        </w:rPr>
      </w:pPr>
      <w:r w:rsidRPr="00310C67">
        <w:rPr>
          <w:noProof/>
        </w:rPr>
        <w:lastRenderedPageBreak/>
        <w:t>CASA ADCX 001/13 - Revocati</w:t>
      </w:r>
      <w:r>
        <w:rPr>
          <w:noProof/>
        </w:rPr>
        <w:t xml:space="preserve">on of Airworthiness Directives </w:t>
      </w:r>
      <w:r w:rsidRPr="000E6FB5">
        <w:t>[F2013L00063]</w:t>
      </w:r>
      <w:r>
        <w:rPr>
          <w:noProof/>
        </w:rPr>
        <w:t xml:space="preserve"> and three other instruments</w:t>
      </w:r>
      <w:r>
        <w:rPr>
          <w:rStyle w:val="FootnoteReference"/>
          <w:noProof/>
        </w:rPr>
        <w:footnoteReference w:id="5"/>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1E0AC1" w:rsidRPr="00B54538" w:rsidTr="001E0AC1">
        <w:tc>
          <w:tcPr>
            <w:tcW w:w="2552" w:type="dxa"/>
          </w:tcPr>
          <w:p w:rsidR="001E0AC1" w:rsidRPr="003B6490" w:rsidRDefault="001E0AC1" w:rsidP="001E0AC1">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Purpose</w:t>
            </w:r>
          </w:p>
        </w:tc>
        <w:tc>
          <w:tcPr>
            <w:tcW w:w="6520" w:type="dxa"/>
          </w:tcPr>
          <w:p w:rsidR="001E0AC1" w:rsidRPr="003B6490" w:rsidRDefault="001E0AC1" w:rsidP="001E0AC1">
            <w:pPr>
              <w:pStyle w:val="letterheadbody"/>
              <w:spacing w:line="264" w:lineRule="auto"/>
              <w:ind w:left="0"/>
              <w:rPr>
                <w:rFonts w:ascii="Times New Roman" w:hAnsi="Times New Roman"/>
                <w:sz w:val="24"/>
                <w:szCs w:val="24"/>
              </w:rPr>
            </w:pPr>
            <w:r>
              <w:rPr>
                <w:rFonts w:ascii="Times New Roman" w:hAnsi="Times New Roman"/>
                <w:noProof/>
                <w:sz w:val="24"/>
                <w:szCs w:val="24"/>
              </w:rPr>
              <w:t>The instruments (1) r</w:t>
            </w:r>
            <w:r w:rsidRPr="00310C67">
              <w:rPr>
                <w:rFonts w:ascii="Times New Roman" w:hAnsi="Times New Roman"/>
                <w:noProof/>
                <w:sz w:val="24"/>
                <w:szCs w:val="24"/>
              </w:rPr>
              <w:t xml:space="preserve">evoke airworthiness directives; </w:t>
            </w:r>
            <w:r>
              <w:rPr>
                <w:rFonts w:ascii="Times New Roman" w:hAnsi="Times New Roman"/>
                <w:noProof/>
                <w:sz w:val="24"/>
                <w:szCs w:val="24"/>
              </w:rPr>
              <w:t>(2) a</w:t>
            </w:r>
            <w:r w:rsidRPr="00310C67">
              <w:rPr>
                <w:rFonts w:ascii="Times New Roman" w:hAnsi="Times New Roman"/>
                <w:noProof/>
                <w:sz w:val="24"/>
                <w:szCs w:val="24"/>
              </w:rPr>
              <w:t xml:space="preserve">llow Network Aviation Pty Ltd to use an approved flight simulator to satisfy recency requirements instead of relying on flights in F100 and Embraer aeroplanes; and </w:t>
            </w:r>
            <w:r>
              <w:rPr>
                <w:rFonts w:ascii="Times New Roman" w:hAnsi="Times New Roman"/>
                <w:noProof/>
                <w:sz w:val="24"/>
                <w:szCs w:val="24"/>
              </w:rPr>
              <w:t xml:space="preserve">(3) </w:t>
            </w:r>
            <w:r w:rsidRPr="00310C67">
              <w:rPr>
                <w:rFonts w:ascii="Times New Roman" w:hAnsi="Times New Roman"/>
                <w:noProof/>
                <w:sz w:val="24"/>
                <w:szCs w:val="24"/>
              </w:rPr>
              <w:t xml:space="preserve">amend Civil Aviation Order 20.18 </w:t>
            </w:r>
            <w:r>
              <w:rPr>
                <w:rFonts w:ascii="Times New Roman" w:hAnsi="Times New Roman"/>
                <w:noProof/>
                <w:sz w:val="24"/>
                <w:szCs w:val="24"/>
              </w:rPr>
              <w:t xml:space="preserve">such that paragraph 10.1 </w:t>
            </w:r>
            <w:r w:rsidRPr="00310C67">
              <w:rPr>
                <w:rFonts w:ascii="Times New Roman" w:hAnsi="Times New Roman"/>
                <w:noProof/>
                <w:sz w:val="24"/>
                <w:szCs w:val="24"/>
              </w:rPr>
              <w:t xml:space="preserve">applies </w:t>
            </w:r>
            <w:r>
              <w:rPr>
                <w:rFonts w:ascii="Times New Roman" w:hAnsi="Times New Roman"/>
                <w:noProof/>
                <w:sz w:val="24"/>
                <w:szCs w:val="24"/>
              </w:rPr>
              <w:t xml:space="preserve">only </w:t>
            </w:r>
            <w:r w:rsidRPr="00310C67">
              <w:rPr>
                <w:rFonts w:ascii="Times New Roman" w:hAnsi="Times New Roman"/>
                <w:noProof/>
                <w:sz w:val="24"/>
                <w:szCs w:val="24"/>
              </w:rPr>
              <w:t>to instruments or equipment that an aircraft carries or is fitted with under subregulati</w:t>
            </w:r>
            <w:r>
              <w:rPr>
                <w:rFonts w:ascii="Times New Roman" w:hAnsi="Times New Roman"/>
                <w:noProof/>
                <w:sz w:val="24"/>
                <w:szCs w:val="24"/>
              </w:rPr>
              <w:t>on 207(2)</w:t>
            </w:r>
          </w:p>
        </w:tc>
      </w:tr>
      <w:tr w:rsidR="001E0AC1" w:rsidRPr="00B54538" w:rsidTr="001E0AC1">
        <w:tc>
          <w:tcPr>
            <w:tcW w:w="2552" w:type="dxa"/>
          </w:tcPr>
          <w:p w:rsidR="001E0AC1" w:rsidRPr="003B6490" w:rsidRDefault="001E0AC1" w:rsidP="001E0AC1">
            <w:pPr>
              <w:pStyle w:val="letterheadbody"/>
              <w:spacing w:line="264" w:lineRule="auto"/>
              <w:ind w:left="0"/>
              <w:rPr>
                <w:rFonts w:ascii="Times New Roman" w:hAnsi="Times New Roman"/>
                <w:sz w:val="24"/>
                <w:szCs w:val="24"/>
              </w:rPr>
            </w:pPr>
            <w:r>
              <w:rPr>
                <w:rFonts w:ascii="Times New Roman" w:hAnsi="Times New Roman"/>
                <w:b/>
                <w:sz w:val="24"/>
                <w:szCs w:val="24"/>
              </w:rPr>
              <w:t>Last day to disallow</w:t>
            </w:r>
          </w:p>
        </w:tc>
        <w:tc>
          <w:tcPr>
            <w:tcW w:w="6520" w:type="dxa"/>
          </w:tcPr>
          <w:p w:rsidR="001E0AC1" w:rsidRPr="003B6490" w:rsidRDefault="001E0AC1" w:rsidP="001E0AC1">
            <w:pPr>
              <w:pStyle w:val="letterheadbody"/>
              <w:spacing w:line="264" w:lineRule="auto"/>
              <w:ind w:left="0"/>
              <w:rPr>
                <w:rFonts w:ascii="Times New Roman" w:hAnsi="Times New Roman"/>
                <w:sz w:val="24"/>
                <w:szCs w:val="24"/>
              </w:rPr>
            </w:pPr>
            <w:r>
              <w:rPr>
                <w:rFonts w:ascii="Times New Roman" w:hAnsi="Times New Roman"/>
                <w:sz w:val="24"/>
                <w:szCs w:val="24"/>
              </w:rPr>
              <w:t>15 May 2013</w:t>
            </w:r>
          </w:p>
        </w:tc>
      </w:tr>
      <w:tr w:rsidR="001E0AC1" w:rsidRPr="00B54538" w:rsidTr="001E0AC1">
        <w:tc>
          <w:tcPr>
            <w:tcW w:w="2552" w:type="dxa"/>
          </w:tcPr>
          <w:p w:rsidR="001E0AC1" w:rsidRPr="003B6490" w:rsidRDefault="001E0AC1" w:rsidP="001E0AC1">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Authorising legislation</w:t>
            </w:r>
          </w:p>
        </w:tc>
        <w:tc>
          <w:tcPr>
            <w:tcW w:w="6520" w:type="dxa"/>
          </w:tcPr>
          <w:p w:rsidR="001E0AC1" w:rsidRPr="003B6490" w:rsidRDefault="001E0AC1" w:rsidP="001E0AC1">
            <w:pPr>
              <w:pStyle w:val="letterheadbody"/>
              <w:spacing w:line="264" w:lineRule="auto"/>
              <w:ind w:left="0"/>
              <w:rPr>
                <w:rFonts w:ascii="Times New Roman" w:hAnsi="Times New Roman"/>
                <w:sz w:val="24"/>
                <w:szCs w:val="24"/>
              </w:rPr>
            </w:pPr>
            <w:r w:rsidRPr="00310C67">
              <w:rPr>
                <w:rFonts w:ascii="Times New Roman" w:hAnsi="Times New Roman"/>
                <w:noProof/>
                <w:sz w:val="24"/>
                <w:szCs w:val="24"/>
              </w:rPr>
              <w:t>Civil Aviation Safety Regulations 1998</w:t>
            </w:r>
          </w:p>
        </w:tc>
      </w:tr>
      <w:tr w:rsidR="001E0AC1" w:rsidRPr="00B54538" w:rsidTr="001E0AC1">
        <w:tc>
          <w:tcPr>
            <w:tcW w:w="2552" w:type="dxa"/>
          </w:tcPr>
          <w:p w:rsidR="001E0AC1" w:rsidRPr="003B6490" w:rsidRDefault="001E0AC1" w:rsidP="001E0AC1">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Department</w:t>
            </w:r>
          </w:p>
        </w:tc>
        <w:tc>
          <w:tcPr>
            <w:tcW w:w="6520" w:type="dxa"/>
          </w:tcPr>
          <w:p w:rsidR="001E0AC1" w:rsidRPr="003B6490" w:rsidRDefault="001E0AC1" w:rsidP="001E0AC1">
            <w:pPr>
              <w:pStyle w:val="letterheadbody"/>
              <w:spacing w:line="264" w:lineRule="auto"/>
              <w:ind w:left="0"/>
              <w:rPr>
                <w:rFonts w:ascii="Times New Roman" w:hAnsi="Times New Roman"/>
                <w:sz w:val="24"/>
                <w:szCs w:val="24"/>
              </w:rPr>
            </w:pPr>
            <w:r w:rsidRPr="00310C67">
              <w:rPr>
                <w:rFonts w:ascii="Times New Roman" w:hAnsi="Times New Roman"/>
                <w:noProof/>
                <w:sz w:val="24"/>
                <w:szCs w:val="24"/>
              </w:rPr>
              <w:t>Infrastructure and Transport</w:t>
            </w:r>
          </w:p>
        </w:tc>
      </w:tr>
    </w:tbl>
    <w:p w:rsidR="001E0AC1" w:rsidRPr="00B54538" w:rsidRDefault="001E0AC1" w:rsidP="001E0AC1">
      <w:pPr>
        <w:spacing w:after="0"/>
        <w:rPr>
          <w:szCs w:val="26"/>
        </w:rPr>
      </w:pPr>
    </w:p>
    <w:p w:rsidR="001E0AC1" w:rsidRDefault="001E0AC1" w:rsidP="001E0AC1">
      <w:pPr>
        <w:spacing w:after="0"/>
        <w:rPr>
          <w:b/>
          <w:szCs w:val="26"/>
        </w:rPr>
      </w:pPr>
      <w:r>
        <w:rPr>
          <w:b/>
          <w:szCs w:val="26"/>
        </w:rPr>
        <w:t>ISSUE:</w:t>
      </w:r>
    </w:p>
    <w:p w:rsidR="001E0AC1" w:rsidRPr="00B54538" w:rsidRDefault="001E0AC1" w:rsidP="001E0AC1">
      <w:pPr>
        <w:pStyle w:val="Heading4"/>
        <w:numPr>
          <w:ilvl w:val="3"/>
          <w:numId w:val="21"/>
        </w:numPr>
        <w:spacing w:before="120" w:after="120"/>
        <w:rPr>
          <w:noProof/>
        </w:rPr>
      </w:pPr>
      <w:r w:rsidRPr="00310C67">
        <w:rPr>
          <w:noProof/>
        </w:rPr>
        <w:t>Drafting</w:t>
      </w:r>
    </w:p>
    <w:p w:rsidR="001E0AC1" w:rsidRPr="00310C67" w:rsidRDefault="001E0AC1" w:rsidP="001E0AC1">
      <w:pPr>
        <w:rPr>
          <w:noProof/>
        </w:rPr>
      </w:pPr>
      <w:r w:rsidRPr="00310C67">
        <w:rPr>
          <w:noProof/>
        </w:rPr>
        <w:t xml:space="preserve">The first of the instruments mentioned </w:t>
      </w:r>
      <w:r>
        <w:rPr>
          <w:noProof/>
        </w:rPr>
        <w:t>is made under subregulation </w:t>
      </w:r>
      <w:r w:rsidRPr="00310C67">
        <w:rPr>
          <w:noProof/>
        </w:rPr>
        <w:t xml:space="preserve">39.001(1) of the Civil Aviation Safety Regulations 1998, which allows CASA to issue airworthiness directives. </w:t>
      </w:r>
      <w:r>
        <w:rPr>
          <w:noProof/>
        </w:rPr>
        <w:t>As that subregulation contains no express power to revoke</w:t>
      </w:r>
      <w:r w:rsidRPr="00310C67">
        <w:rPr>
          <w:noProof/>
        </w:rPr>
        <w:t xml:space="preserve"> airworthiness directives</w:t>
      </w:r>
      <w:r>
        <w:rPr>
          <w:noProof/>
        </w:rPr>
        <w:t xml:space="preserve">, </w:t>
      </w:r>
      <w:r w:rsidRPr="00310C67">
        <w:rPr>
          <w:noProof/>
        </w:rPr>
        <w:t xml:space="preserve">the instrument </w:t>
      </w:r>
      <w:r w:rsidRPr="00310C67">
        <w:rPr>
          <w:noProof/>
          <w:szCs w:val="26"/>
        </w:rPr>
        <w:t xml:space="preserve">presumably relies on subsection 33(3) of the </w:t>
      </w:r>
      <w:r w:rsidRPr="00E90A2F">
        <w:rPr>
          <w:i/>
          <w:noProof/>
          <w:szCs w:val="26"/>
        </w:rPr>
        <w:t>Acts Interpretation Act 1901</w:t>
      </w:r>
      <w:r w:rsidRPr="00310C67">
        <w:rPr>
          <w:noProof/>
          <w:szCs w:val="26"/>
        </w:rPr>
        <w:t xml:space="preserve">, which provides that the power to make an instrument includes the power to </w:t>
      </w:r>
      <w:r>
        <w:rPr>
          <w:noProof/>
          <w:szCs w:val="26"/>
        </w:rPr>
        <w:t xml:space="preserve">vary or </w:t>
      </w:r>
      <w:r w:rsidRPr="00310C67">
        <w:rPr>
          <w:noProof/>
          <w:szCs w:val="26"/>
        </w:rPr>
        <w:t>revoke the instrument.</w:t>
      </w:r>
      <w:r>
        <w:rPr>
          <w:noProof/>
          <w:szCs w:val="26"/>
        </w:rPr>
        <w:t xml:space="preserve"> If that is the case,</w:t>
      </w:r>
      <w:r w:rsidRPr="00310C67">
        <w:rPr>
          <w:noProof/>
          <w:szCs w:val="26"/>
        </w:rPr>
        <w:t xml:space="preserve"> it would be preferable </w:t>
      </w:r>
      <w:r>
        <w:rPr>
          <w:noProof/>
          <w:szCs w:val="26"/>
        </w:rPr>
        <w:t xml:space="preserve">for </w:t>
      </w:r>
      <w:r w:rsidRPr="00310C67">
        <w:rPr>
          <w:noProof/>
          <w:szCs w:val="26"/>
        </w:rPr>
        <w:t xml:space="preserve">the making words of the instrument </w:t>
      </w:r>
      <w:r>
        <w:rPr>
          <w:noProof/>
          <w:szCs w:val="26"/>
        </w:rPr>
        <w:t xml:space="preserve">and the ES to clearly identify the authority for the exercise of the power. </w:t>
      </w:r>
      <w:r w:rsidRPr="00310C67">
        <w:rPr>
          <w:noProof/>
          <w:szCs w:val="26"/>
        </w:rPr>
        <w:t xml:space="preserve">The same issue arises in relation to the other three instruments </w:t>
      </w:r>
      <w:r>
        <w:rPr>
          <w:noProof/>
          <w:szCs w:val="26"/>
        </w:rPr>
        <w:t>identified</w:t>
      </w:r>
      <w:r w:rsidRPr="00310C67">
        <w:rPr>
          <w:noProof/>
          <w:szCs w:val="26"/>
        </w:rPr>
        <w:t>.</w:t>
      </w:r>
      <w:r>
        <w:rPr>
          <w:noProof/>
          <w:szCs w:val="26"/>
        </w:rPr>
        <w:t xml:space="preserve"> </w:t>
      </w:r>
      <w:r w:rsidRPr="00E90A2F">
        <w:rPr>
          <w:b/>
          <w:noProof/>
          <w:szCs w:val="26"/>
        </w:rPr>
        <w:t xml:space="preserve">The committee will </w:t>
      </w:r>
      <w:r>
        <w:rPr>
          <w:b/>
          <w:noProof/>
          <w:szCs w:val="26"/>
        </w:rPr>
        <w:t xml:space="preserve">therefore </w:t>
      </w:r>
      <w:r w:rsidRPr="00E90A2F">
        <w:rPr>
          <w:b/>
          <w:noProof/>
          <w:szCs w:val="26"/>
        </w:rPr>
        <w:t>draw this issue to the attention of the minister</w:t>
      </w:r>
      <w:r w:rsidRPr="00310C67">
        <w:rPr>
          <w:noProof/>
          <w:szCs w:val="26"/>
        </w:rPr>
        <w:t>.</w:t>
      </w:r>
    </w:p>
    <w:p w:rsidR="001E0AC1" w:rsidRDefault="001E0AC1" w:rsidP="001E0AC1">
      <w:pPr>
        <w:spacing w:after="0"/>
        <w:jc w:val="left"/>
        <w:rPr>
          <w:b/>
          <w:noProof/>
          <w:sz w:val="28"/>
        </w:rPr>
      </w:pPr>
      <w:r>
        <w:rPr>
          <w:noProof/>
        </w:rPr>
        <w:br w:type="page"/>
      </w:r>
    </w:p>
    <w:p w:rsidR="001E0AC1" w:rsidRPr="00B54538" w:rsidRDefault="001E0AC1" w:rsidP="009F02ED">
      <w:pPr>
        <w:pStyle w:val="Heading3"/>
      </w:pPr>
      <w:r w:rsidRPr="00310C67">
        <w:rPr>
          <w:noProof/>
        </w:rPr>
        <w:lastRenderedPageBreak/>
        <w:t>Defence Determination 2012/68, Reserve employer support payments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1E0AC1" w:rsidRPr="00B54538" w:rsidTr="001E0AC1">
        <w:tc>
          <w:tcPr>
            <w:tcW w:w="2552" w:type="dxa"/>
          </w:tcPr>
          <w:p w:rsidR="001E0AC1" w:rsidRPr="003B6490" w:rsidRDefault="001E0AC1" w:rsidP="001E0AC1">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Purpose</w:t>
            </w:r>
          </w:p>
        </w:tc>
        <w:tc>
          <w:tcPr>
            <w:tcW w:w="6520" w:type="dxa"/>
          </w:tcPr>
          <w:p w:rsidR="001E0AC1" w:rsidRPr="003B6490" w:rsidRDefault="001E0AC1" w:rsidP="001E0AC1">
            <w:pPr>
              <w:pStyle w:val="letterheadbody"/>
              <w:spacing w:line="264" w:lineRule="auto"/>
              <w:ind w:left="0"/>
              <w:rPr>
                <w:rFonts w:ascii="Times New Roman" w:hAnsi="Times New Roman"/>
                <w:sz w:val="24"/>
                <w:szCs w:val="24"/>
              </w:rPr>
            </w:pPr>
            <w:r w:rsidRPr="00310C67">
              <w:rPr>
                <w:rFonts w:ascii="Times New Roman" w:hAnsi="Times New Roman"/>
                <w:noProof/>
                <w:sz w:val="24"/>
                <w:szCs w:val="24"/>
              </w:rPr>
              <w:t>Repeals and replaces the Defence (Employer Support) Determination 2005, which provides for payments to be made to the employers of certain members of the Australian Defence Force who</w:t>
            </w:r>
            <w:r>
              <w:rPr>
                <w:rFonts w:ascii="Times New Roman" w:hAnsi="Times New Roman"/>
                <w:noProof/>
                <w:sz w:val="24"/>
                <w:szCs w:val="24"/>
              </w:rPr>
              <w:t xml:space="preserve"> serve as reservists</w:t>
            </w:r>
          </w:p>
        </w:tc>
      </w:tr>
      <w:tr w:rsidR="001E0AC1" w:rsidRPr="00B54538" w:rsidTr="001E0AC1">
        <w:tc>
          <w:tcPr>
            <w:tcW w:w="2552" w:type="dxa"/>
          </w:tcPr>
          <w:p w:rsidR="001E0AC1" w:rsidRPr="003B6490" w:rsidRDefault="001E0AC1" w:rsidP="001E0AC1">
            <w:pPr>
              <w:pStyle w:val="letterheadbody"/>
              <w:spacing w:line="264" w:lineRule="auto"/>
              <w:ind w:left="0"/>
              <w:rPr>
                <w:rFonts w:ascii="Times New Roman" w:hAnsi="Times New Roman"/>
                <w:sz w:val="24"/>
                <w:szCs w:val="24"/>
              </w:rPr>
            </w:pPr>
            <w:r>
              <w:rPr>
                <w:rFonts w:ascii="Times New Roman" w:hAnsi="Times New Roman"/>
                <w:b/>
                <w:sz w:val="24"/>
                <w:szCs w:val="24"/>
              </w:rPr>
              <w:t>Last day to disallow</w:t>
            </w:r>
          </w:p>
        </w:tc>
        <w:tc>
          <w:tcPr>
            <w:tcW w:w="6520" w:type="dxa"/>
          </w:tcPr>
          <w:p w:rsidR="001E0AC1" w:rsidRPr="003B6490" w:rsidRDefault="001E0AC1" w:rsidP="001E0AC1">
            <w:pPr>
              <w:pStyle w:val="letterheadbody"/>
              <w:spacing w:line="264" w:lineRule="auto"/>
              <w:ind w:left="0"/>
              <w:rPr>
                <w:rFonts w:ascii="Times New Roman" w:hAnsi="Times New Roman"/>
                <w:sz w:val="24"/>
                <w:szCs w:val="24"/>
              </w:rPr>
            </w:pPr>
            <w:r>
              <w:rPr>
                <w:rFonts w:ascii="Times New Roman" w:hAnsi="Times New Roman"/>
                <w:sz w:val="24"/>
                <w:szCs w:val="24"/>
              </w:rPr>
              <w:t>15 May 2013</w:t>
            </w:r>
          </w:p>
        </w:tc>
      </w:tr>
      <w:tr w:rsidR="001E0AC1" w:rsidRPr="00B54538" w:rsidTr="001E0AC1">
        <w:tc>
          <w:tcPr>
            <w:tcW w:w="2552" w:type="dxa"/>
          </w:tcPr>
          <w:p w:rsidR="001E0AC1" w:rsidRPr="003B6490" w:rsidRDefault="001E0AC1" w:rsidP="001E0AC1">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Authorising legislation</w:t>
            </w:r>
          </w:p>
        </w:tc>
        <w:tc>
          <w:tcPr>
            <w:tcW w:w="6520" w:type="dxa"/>
          </w:tcPr>
          <w:p w:rsidR="001E0AC1" w:rsidRPr="00E72FCA" w:rsidRDefault="001E0AC1" w:rsidP="001E0AC1">
            <w:pPr>
              <w:pStyle w:val="letterheadbody"/>
              <w:spacing w:line="264" w:lineRule="auto"/>
              <w:ind w:left="0"/>
              <w:rPr>
                <w:rFonts w:ascii="Times New Roman" w:hAnsi="Times New Roman"/>
                <w:i/>
                <w:sz w:val="24"/>
                <w:szCs w:val="24"/>
              </w:rPr>
            </w:pPr>
            <w:r w:rsidRPr="00E72FCA">
              <w:rPr>
                <w:rFonts w:ascii="Times New Roman" w:hAnsi="Times New Roman"/>
                <w:i/>
                <w:noProof/>
                <w:sz w:val="24"/>
                <w:szCs w:val="24"/>
              </w:rPr>
              <w:t>Defence Act 1903</w:t>
            </w:r>
          </w:p>
        </w:tc>
      </w:tr>
      <w:tr w:rsidR="001E0AC1" w:rsidRPr="00B54538" w:rsidTr="001E0AC1">
        <w:tc>
          <w:tcPr>
            <w:tcW w:w="2552" w:type="dxa"/>
          </w:tcPr>
          <w:p w:rsidR="001E0AC1" w:rsidRPr="003B6490" w:rsidRDefault="001E0AC1" w:rsidP="001E0AC1">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Department</w:t>
            </w:r>
          </w:p>
        </w:tc>
        <w:tc>
          <w:tcPr>
            <w:tcW w:w="6520" w:type="dxa"/>
          </w:tcPr>
          <w:p w:rsidR="001E0AC1" w:rsidRPr="003B6490" w:rsidRDefault="001E0AC1" w:rsidP="001E0AC1">
            <w:pPr>
              <w:pStyle w:val="letterheadbody"/>
              <w:spacing w:line="264" w:lineRule="auto"/>
              <w:ind w:left="0"/>
              <w:rPr>
                <w:rFonts w:ascii="Times New Roman" w:hAnsi="Times New Roman"/>
                <w:sz w:val="24"/>
                <w:szCs w:val="24"/>
              </w:rPr>
            </w:pPr>
            <w:r w:rsidRPr="00310C67">
              <w:rPr>
                <w:rFonts w:ascii="Times New Roman" w:hAnsi="Times New Roman"/>
                <w:noProof/>
                <w:sz w:val="24"/>
                <w:szCs w:val="24"/>
              </w:rPr>
              <w:t>Defence</w:t>
            </w:r>
          </w:p>
        </w:tc>
      </w:tr>
    </w:tbl>
    <w:p w:rsidR="001E0AC1" w:rsidRDefault="001E0AC1" w:rsidP="001E0AC1">
      <w:pPr>
        <w:spacing w:after="0"/>
        <w:rPr>
          <w:szCs w:val="26"/>
        </w:rPr>
      </w:pPr>
    </w:p>
    <w:p w:rsidR="001E0AC1" w:rsidRDefault="001E0AC1" w:rsidP="001E0AC1">
      <w:pPr>
        <w:spacing w:after="0"/>
        <w:rPr>
          <w:b/>
          <w:szCs w:val="26"/>
        </w:rPr>
      </w:pPr>
      <w:r w:rsidRPr="00B54538">
        <w:rPr>
          <w:b/>
          <w:szCs w:val="26"/>
        </w:rPr>
        <w:t>ISSUE</w:t>
      </w:r>
      <w:r>
        <w:rPr>
          <w:b/>
          <w:szCs w:val="26"/>
        </w:rPr>
        <w:t>S:</w:t>
      </w:r>
    </w:p>
    <w:p w:rsidR="001E0AC1" w:rsidRPr="00B54538" w:rsidRDefault="001E0AC1" w:rsidP="001E0AC1">
      <w:pPr>
        <w:pStyle w:val="Heading4"/>
        <w:numPr>
          <w:ilvl w:val="3"/>
          <w:numId w:val="21"/>
        </w:numPr>
        <w:spacing w:before="120" w:after="120"/>
        <w:rPr>
          <w:noProof/>
        </w:rPr>
      </w:pPr>
      <w:r>
        <w:rPr>
          <w:noProof/>
        </w:rPr>
        <w:t>(a) Trespass on personal rights</w:t>
      </w:r>
    </w:p>
    <w:p w:rsidR="001E0AC1" w:rsidRPr="00310C67" w:rsidRDefault="001E0AC1" w:rsidP="001E0AC1">
      <w:pPr>
        <w:rPr>
          <w:noProof/>
          <w:szCs w:val="26"/>
        </w:rPr>
      </w:pPr>
      <w:r>
        <w:rPr>
          <w:noProof/>
          <w:szCs w:val="26"/>
        </w:rPr>
        <w:t>S</w:t>
      </w:r>
      <w:r w:rsidRPr="00E72FCA">
        <w:rPr>
          <w:noProof/>
          <w:szCs w:val="26"/>
        </w:rPr>
        <w:t xml:space="preserve">ubsections 3.5(a) and (b) of the determination provide that nothing in section 3 (relating to repeal, saving and transition matters) is taken to preserve the monetary amount or value of a person's entitlements under the former determination. While the committee appreciates that the section facilitates the transition between the two determinations by, for example, ensuring that a person who has qualified for an entitlement under the previous determination will be taken to have qualified for the corresponding requirement under the new determination, the committee notes </w:t>
      </w:r>
      <w:r>
        <w:rPr>
          <w:noProof/>
          <w:szCs w:val="26"/>
        </w:rPr>
        <w:t xml:space="preserve">that the </w:t>
      </w:r>
      <w:r w:rsidRPr="00E72FCA">
        <w:rPr>
          <w:noProof/>
          <w:szCs w:val="26"/>
        </w:rPr>
        <w:t xml:space="preserve">ES provides only a general description of the purpose and operation of the section and, particularly, subsections 3.5(a) and (b). </w:t>
      </w:r>
      <w:r w:rsidRPr="00E72FCA">
        <w:rPr>
          <w:b/>
          <w:noProof/>
          <w:szCs w:val="26"/>
        </w:rPr>
        <w:t xml:space="preserve">The committee </w:t>
      </w:r>
      <w:r>
        <w:rPr>
          <w:b/>
          <w:noProof/>
          <w:szCs w:val="26"/>
        </w:rPr>
        <w:t xml:space="preserve">will </w:t>
      </w:r>
      <w:r w:rsidRPr="00E72FCA">
        <w:rPr>
          <w:b/>
          <w:noProof/>
          <w:szCs w:val="26"/>
        </w:rPr>
        <w:t xml:space="preserve">therefore seek </w:t>
      </w:r>
      <w:r>
        <w:rPr>
          <w:b/>
          <w:noProof/>
          <w:szCs w:val="26"/>
        </w:rPr>
        <w:t xml:space="preserve">furtehr information from </w:t>
      </w:r>
      <w:r w:rsidRPr="00E72FCA">
        <w:rPr>
          <w:b/>
          <w:noProof/>
          <w:szCs w:val="26"/>
        </w:rPr>
        <w:t xml:space="preserve">the </w:t>
      </w:r>
      <w:r>
        <w:rPr>
          <w:b/>
          <w:noProof/>
          <w:szCs w:val="26"/>
        </w:rPr>
        <w:t>parliamentary secretary</w:t>
      </w:r>
      <w:r w:rsidRPr="00E72FCA">
        <w:rPr>
          <w:b/>
          <w:noProof/>
          <w:szCs w:val="26"/>
        </w:rPr>
        <w:t xml:space="preserve">'s </w:t>
      </w:r>
      <w:r>
        <w:rPr>
          <w:b/>
          <w:noProof/>
          <w:szCs w:val="26"/>
        </w:rPr>
        <w:t xml:space="preserve">as to </w:t>
      </w:r>
      <w:r w:rsidRPr="00E72FCA">
        <w:rPr>
          <w:b/>
          <w:noProof/>
          <w:szCs w:val="26"/>
        </w:rPr>
        <w:t xml:space="preserve">the intended purpose of subsections 3.5(a) and (b), and particularly as to whether there is potential for a person to be disadvantaged due to </w:t>
      </w:r>
      <w:r>
        <w:rPr>
          <w:b/>
          <w:noProof/>
          <w:szCs w:val="26"/>
        </w:rPr>
        <w:t>their</w:t>
      </w:r>
      <w:r w:rsidRPr="00E72FCA">
        <w:rPr>
          <w:b/>
          <w:noProof/>
          <w:szCs w:val="26"/>
        </w:rPr>
        <w:t xml:space="preserve"> operation</w:t>
      </w:r>
      <w:r>
        <w:rPr>
          <w:noProof/>
          <w:szCs w:val="26"/>
        </w:rPr>
        <w:t>.</w:t>
      </w:r>
    </w:p>
    <w:p w:rsidR="001E0AC1" w:rsidRDefault="001E0AC1" w:rsidP="001E0AC1">
      <w:pPr>
        <w:pStyle w:val="Heading4"/>
        <w:numPr>
          <w:ilvl w:val="3"/>
          <w:numId w:val="21"/>
        </w:numPr>
        <w:spacing w:before="120" w:after="120"/>
        <w:rPr>
          <w:noProof/>
          <w:szCs w:val="26"/>
        </w:rPr>
      </w:pPr>
      <w:r w:rsidRPr="00310C67">
        <w:rPr>
          <w:noProof/>
        </w:rPr>
        <w:t xml:space="preserve">(b) Review </w:t>
      </w:r>
      <w:r>
        <w:rPr>
          <w:noProof/>
        </w:rPr>
        <w:t>of decisions on their merits</w:t>
      </w:r>
    </w:p>
    <w:p w:rsidR="001E0AC1" w:rsidRPr="00316FEB" w:rsidRDefault="001E0AC1" w:rsidP="001E0AC1">
      <w:pPr>
        <w:pStyle w:val="Level1"/>
        <w:numPr>
          <w:ilvl w:val="0"/>
          <w:numId w:val="0"/>
        </w:numPr>
        <w:rPr>
          <w:b/>
          <w:noProof/>
          <w:szCs w:val="26"/>
        </w:rPr>
      </w:pPr>
      <w:r w:rsidRPr="00310C67">
        <w:rPr>
          <w:noProof/>
        </w:rPr>
        <w:t xml:space="preserve">Part 5 of the instrument deals with the question of review of decisions. It is apparent from the transitional provisions that the new instrument removes the right of review by the </w:t>
      </w:r>
      <w:r>
        <w:rPr>
          <w:noProof/>
        </w:rPr>
        <w:t>Administrative Appeals Tribunal (</w:t>
      </w:r>
      <w:r w:rsidRPr="00310C67">
        <w:rPr>
          <w:noProof/>
        </w:rPr>
        <w:t>AAT</w:t>
      </w:r>
      <w:r>
        <w:rPr>
          <w:noProof/>
        </w:rPr>
        <w:t>)</w:t>
      </w:r>
      <w:r w:rsidRPr="00310C67">
        <w:rPr>
          <w:noProof/>
        </w:rPr>
        <w:t xml:space="preserve"> for certain decisions relating to employer support payments; however, the ES notes that a review of a decision may be conducted by the Commonwealth Ombudsman.</w:t>
      </w:r>
      <w:r>
        <w:rPr>
          <w:noProof/>
        </w:rPr>
        <w:t xml:space="preserve"> In the committee's view, it is unclear why AAT review has been excluded, and what will be the nature and potential outcomes of a review by the Ombudsman. </w:t>
      </w:r>
      <w:r w:rsidRPr="00940F8E">
        <w:rPr>
          <w:b/>
          <w:noProof/>
        </w:rPr>
        <w:t xml:space="preserve">The committee will </w:t>
      </w:r>
      <w:r>
        <w:rPr>
          <w:b/>
          <w:noProof/>
        </w:rPr>
        <w:t xml:space="preserve">therefore </w:t>
      </w:r>
      <w:r w:rsidRPr="00940F8E">
        <w:rPr>
          <w:b/>
          <w:noProof/>
        </w:rPr>
        <w:t xml:space="preserve">seek </w:t>
      </w:r>
      <w:r>
        <w:rPr>
          <w:b/>
          <w:noProof/>
        </w:rPr>
        <w:t>further information</w:t>
      </w:r>
      <w:r w:rsidRPr="00940F8E">
        <w:rPr>
          <w:b/>
          <w:noProof/>
        </w:rPr>
        <w:t xml:space="preserve"> from the </w:t>
      </w:r>
      <w:r>
        <w:rPr>
          <w:b/>
          <w:noProof/>
          <w:szCs w:val="26"/>
        </w:rPr>
        <w:t>parliamentary secretary</w:t>
      </w:r>
      <w:r>
        <w:rPr>
          <w:noProof/>
        </w:rPr>
        <w:t>.</w:t>
      </w:r>
    </w:p>
    <w:p w:rsidR="001E0AC1" w:rsidRDefault="001E0AC1" w:rsidP="001E0AC1">
      <w:pPr>
        <w:spacing w:after="0"/>
        <w:jc w:val="left"/>
        <w:rPr>
          <w:b/>
          <w:noProof/>
          <w:sz w:val="28"/>
        </w:rPr>
      </w:pPr>
      <w:r>
        <w:rPr>
          <w:noProof/>
        </w:rPr>
        <w:br w:type="page"/>
      </w:r>
    </w:p>
    <w:p w:rsidR="001E0AC1" w:rsidRPr="00B54538" w:rsidRDefault="001E0AC1" w:rsidP="009F02ED">
      <w:pPr>
        <w:pStyle w:val="Heading3"/>
      </w:pPr>
      <w:r w:rsidRPr="00310C67">
        <w:rPr>
          <w:noProof/>
        </w:rPr>
        <w:lastRenderedPageBreak/>
        <w:t xml:space="preserve">Water Efficiency Labelling and Standards Determination 2013 </w:t>
      </w:r>
      <w:r w:rsidRPr="008F1D25">
        <w:t>[F2013L00067]</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1E0AC1" w:rsidRPr="00B54538" w:rsidTr="001E0AC1">
        <w:tc>
          <w:tcPr>
            <w:tcW w:w="2552" w:type="dxa"/>
          </w:tcPr>
          <w:p w:rsidR="001E0AC1" w:rsidRPr="003B6490" w:rsidRDefault="001E0AC1" w:rsidP="001E0AC1">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Purpose</w:t>
            </w:r>
          </w:p>
        </w:tc>
        <w:tc>
          <w:tcPr>
            <w:tcW w:w="6520" w:type="dxa"/>
          </w:tcPr>
          <w:p w:rsidR="001E0AC1" w:rsidRPr="003B6490" w:rsidRDefault="001E0AC1" w:rsidP="001E0AC1">
            <w:pPr>
              <w:pStyle w:val="letterheadbody"/>
              <w:spacing w:line="264" w:lineRule="auto"/>
              <w:ind w:left="0"/>
              <w:rPr>
                <w:rFonts w:ascii="Times New Roman" w:hAnsi="Times New Roman"/>
                <w:sz w:val="24"/>
                <w:szCs w:val="24"/>
              </w:rPr>
            </w:pPr>
            <w:r w:rsidRPr="00310C67">
              <w:rPr>
                <w:rFonts w:ascii="Times New Roman" w:hAnsi="Times New Roman"/>
                <w:noProof/>
                <w:sz w:val="24"/>
                <w:szCs w:val="24"/>
              </w:rPr>
              <w:t xml:space="preserve">Repeals the Water Efficiency Labelling and Standards Determination </w:t>
            </w:r>
            <w:r>
              <w:rPr>
                <w:rFonts w:ascii="Times New Roman" w:hAnsi="Times New Roman"/>
                <w:noProof/>
                <w:sz w:val="24"/>
                <w:szCs w:val="24"/>
              </w:rPr>
              <w:t xml:space="preserve">(WELS) </w:t>
            </w:r>
            <w:r w:rsidRPr="00310C67">
              <w:rPr>
                <w:rFonts w:ascii="Times New Roman" w:hAnsi="Times New Roman"/>
                <w:noProof/>
                <w:sz w:val="24"/>
                <w:szCs w:val="24"/>
              </w:rPr>
              <w:t>2011 and sets the registration requirements and rules for products that are covered by the WELS Scheme and also sets the fee</w:t>
            </w:r>
            <w:r>
              <w:rPr>
                <w:rFonts w:ascii="Times New Roman" w:hAnsi="Times New Roman"/>
                <w:noProof/>
                <w:sz w:val="24"/>
                <w:szCs w:val="24"/>
              </w:rPr>
              <w:t xml:space="preserve"> amount for those registrations</w:t>
            </w:r>
          </w:p>
        </w:tc>
      </w:tr>
      <w:tr w:rsidR="001E0AC1" w:rsidRPr="00B54538" w:rsidTr="001E0AC1">
        <w:tc>
          <w:tcPr>
            <w:tcW w:w="2552" w:type="dxa"/>
          </w:tcPr>
          <w:p w:rsidR="001E0AC1" w:rsidRPr="003B6490" w:rsidRDefault="001E0AC1" w:rsidP="001E0AC1">
            <w:pPr>
              <w:pStyle w:val="letterheadbody"/>
              <w:spacing w:line="264" w:lineRule="auto"/>
              <w:ind w:left="0"/>
              <w:rPr>
                <w:rFonts w:ascii="Times New Roman" w:hAnsi="Times New Roman"/>
                <w:sz w:val="24"/>
                <w:szCs w:val="24"/>
              </w:rPr>
            </w:pPr>
            <w:r>
              <w:rPr>
                <w:rFonts w:ascii="Times New Roman" w:hAnsi="Times New Roman"/>
                <w:b/>
                <w:sz w:val="24"/>
                <w:szCs w:val="24"/>
              </w:rPr>
              <w:t>Last day to disallow</w:t>
            </w:r>
          </w:p>
        </w:tc>
        <w:tc>
          <w:tcPr>
            <w:tcW w:w="6520" w:type="dxa"/>
          </w:tcPr>
          <w:p w:rsidR="001E0AC1" w:rsidRPr="003B6490" w:rsidRDefault="001E0AC1" w:rsidP="001E0AC1">
            <w:pPr>
              <w:pStyle w:val="letterheadbody"/>
              <w:spacing w:line="264" w:lineRule="auto"/>
              <w:ind w:left="0"/>
              <w:rPr>
                <w:rFonts w:ascii="Times New Roman" w:hAnsi="Times New Roman"/>
                <w:sz w:val="24"/>
                <w:szCs w:val="24"/>
              </w:rPr>
            </w:pPr>
            <w:r>
              <w:rPr>
                <w:rFonts w:ascii="Times New Roman" w:hAnsi="Times New Roman"/>
                <w:sz w:val="24"/>
                <w:szCs w:val="24"/>
              </w:rPr>
              <w:t>15 May 2013</w:t>
            </w:r>
          </w:p>
        </w:tc>
      </w:tr>
      <w:tr w:rsidR="001E0AC1" w:rsidRPr="00B54538" w:rsidTr="001E0AC1">
        <w:tc>
          <w:tcPr>
            <w:tcW w:w="2552" w:type="dxa"/>
          </w:tcPr>
          <w:p w:rsidR="001E0AC1" w:rsidRPr="003B6490" w:rsidRDefault="001E0AC1" w:rsidP="001E0AC1">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Authorising legislation</w:t>
            </w:r>
          </w:p>
        </w:tc>
        <w:tc>
          <w:tcPr>
            <w:tcW w:w="6520" w:type="dxa"/>
          </w:tcPr>
          <w:p w:rsidR="001E0AC1" w:rsidRPr="00316FEB" w:rsidRDefault="001E0AC1" w:rsidP="001E0AC1">
            <w:pPr>
              <w:pStyle w:val="letterheadbody"/>
              <w:spacing w:line="264" w:lineRule="auto"/>
              <w:ind w:left="0"/>
              <w:rPr>
                <w:rFonts w:ascii="Times New Roman" w:hAnsi="Times New Roman"/>
                <w:i/>
                <w:sz w:val="24"/>
                <w:szCs w:val="24"/>
              </w:rPr>
            </w:pPr>
            <w:r w:rsidRPr="00316FEB">
              <w:rPr>
                <w:rFonts w:ascii="Times New Roman" w:hAnsi="Times New Roman"/>
                <w:i/>
                <w:noProof/>
                <w:sz w:val="24"/>
                <w:szCs w:val="24"/>
              </w:rPr>
              <w:t>Water Efficiency Labelling and Standards Act 2005</w:t>
            </w:r>
          </w:p>
        </w:tc>
      </w:tr>
      <w:tr w:rsidR="001E0AC1" w:rsidRPr="00B54538" w:rsidTr="001E0AC1">
        <w:tc>
          <w:tcPr>
            <w:tcW w:w="2552" w:type="dxa"/>
          </w:tcPr>
          <w:p w:rsidR="001E0AC1" w:rsidRPr="003B6490" w:rsidRDefault="001E0AC1" w:rsidP="001E0AC1">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Department</w:t>
            </w:r>
          </w:p>
        </w:tc>
        <w:tc>
          <w:tcPr>
            <w:tcW w:w="6520" w:type="dxa"/>
          </w:tcPr>
          <w:p w:rsidR="001E0AC1" w:rsidRPr="003B6490" w:rsidRDefault="001E0AC1" w:rsidP="001E0AC1">
            <w:pPr>
              <w:pStyle w:val="letterheadbody"/>
              <w:spacing w:line="264" w:lineRule="auto"/>
              <w:ind w:left="0"/>
              <w:rPr>
                <w:rFonts w:ascii="Times New Roman" w:hAnsi="Times New Roman"/>
                <w:sz w:val="24"/>
                <w:szCs w:val="24"/>
              </w:rPr>
            </w:pPr>
            <w:r w:rsidRPr="00310C67">
              <w:rPr>
                <w:rFonts w:ascii="Times New Roman" w:hAnsi="Times New Roman"/>
                <w:noProof/>
                <w:sz w:val="24"/>
                <w:szCs w:val="24"/>
              </w:rPr>
              <w:t>Sustainability, Environment, Water, Population and Communities</w:t>
            </w:r>
          </w:p>
        </w:tc>
      </w:tr>
    </w:tbl>
    <w:p w:rsidR="001E0AC1" w:rsidRPr="00B54538" w:rsidRDefault="001E0AC1" w:rsidP="001E0AC1">
      <w:pPr>
        <w:spacing w:after="0"/>
        <w:rPr>
          <w:szCs w:val="26"/>
        </w:rPr>
      </w:pPr>
    </w:p>
    <w:p w:rsidR="001E0AC1" w:rsidRDefault="001E0AC1" w:rsidP="001E0AC1">
      <w:pPr>
        <w:spacing w:after="0"/>
        <w:rPr>
          <w:b/>
          <w:szCs w:val="26"/>
        </w:rPr>
      </w:pPr>
      <w:r>
        <w:rPr>
          <w:b/>
          <w:szCs w:val="26"/>
        </w:rPr>
        <w:t>ISSUE:</w:t>
      </w:r>
    </w:p>
    <w:p w:rsidR="001E0AC1" w:rsidRPr="00B54538" w:rsidRDefault="001E0AC1" w:rsidP="001E0AC1">
      <w:pPr>
        <w:pStyle w:val="Heading4"/>
        <w:numPr>
          <w:ilvl w:val="3"/>
          <w:numId w:val="21"/>
        </w:numPr>
        <w:spacing w:before="120" w:after="120"/>
        <w:rPr>
          <w:noProof/>
        </w:rPr>
      </w:pPr>
      <w:r w:rsidRPr="00310C67">
        <w:rPr>
          <w:noProof/>
        </w:rPr>
        <w:t>Unclear basis for calculation of fees</w:t>
      </w:r>
    </w:p>
    <w:p w:rsidR="001E0AC1" w:rsidRPr="00310C67" w:rsidRDefault="001E0AC1" w:rsidP="001E0AC1">
      <w:pPr>
        <w:pStyle w:val="Level1"/>
        <w:numPr>
          <w:ilvl w:val="0"/>
          <w:numId w:val="0"/>
        </w:numPr>
        <w:rPr>
          <w:noProof/>
        </w:rPr>
      </w:pPr>
      <w:r w:rsidRPr="00310C67">
        <w:rPr>
          <w:noProof/>
        </w:rPr>
        <w:t>Th</w:t>
      </w:r>
      <w:r>
        <w:rPr>
          <w:noProof/>
        </w:rPr>
        <w:t>e</w:t>
      </w:r>
      <w:r w:rsidRPr="00310C67">
        <w:rPr>
          <w:noProof/>
        </w:rPr>
        <w:t xml:space="preserve"> determination repeals the previous determination, sets the registration requirements and rules for products that are covered by the WELS Scheme and also sets the fee amount for those registrations. Contrary to the committee's usual expectation, the </w:t>
      </w:r>
      <w:r>
        <w:rPr>
          <w:noProof/>
        </w:rPr>
        <w:t xml:space="preserve">ES </w:t>
      </w:r>
      <w:r w:rsidRPr="00310C67">
        <w:rPr>
          <w:noProof/>
        </w:rPr>
        <w:t>does not indicate whether the registration fees have decreased or increased or describe the basis for the calculation of the registration fees.</w:t>
      </w:r>
      <w:r>
        <w:rPr>
          <w:noProof/>
        </w:rPr>
        <w:t xml:space="preserve"> </w:t>
      </w:r>
      <w:r w:rsidRPr="00940F8E">
        <w:rPr>
          <w:b/>
          <w:noProof/>
        </w:rPr>
        <w:t xml:space="preserve">The committee will </w:t>
      </w:r>
      <w:r>
        <w:rPr>
          <w:b/>
          <w:noProof/>
        </w:rPr>
        <w:t xml:space="preserve">therefore </w:t>
      </w:r>
      <w:r w:rsidRPr="00940F8E">
        <w:rPr>
          <w:b/>
          <w:noProof/>
        </w:rPr>
        <w:t xml:space="preserve">seek </w:t>
      </w:r>
      <w:r>
        <w:rPr>
          <w:b/>
          <w:noProof/>
        </w:rPr>
        <w:t>further information</w:t>
      </w:r>
      <w:r w:rsidRPr="00940F8E">
        <w:rPr>
          <w:b/>
          <w:noProof/>
        </w:rPr>
        <w:t xml:space="preserve"> from the </w:t>
      </w:r>
      <w:r>
        <w:rPr>
          <w:b/>
          <w:noProof/>
        </w:rPr>
        <w:t>minister</w:t>
      </w:r>
      <w:r>
        <w:rPr>
          <w:noProof/>
        </w:rPr>
        <w:t>.</w:t>
      </w:r>
    </w:p>
    <w:p w:rsidR="001E0AC1" w:rsidRPr="00B54538" w:rsidRDefault="001E0AC1" w:rsidP="009F02ED">
      <w:pPr>
        <w:pStyle w:val="Heading3"/>
        <w:spacing w:before="240"/>
      </w:pPr>
      <w:r w:rsidRPr="00310C67">
        <w:rPr>
          <w:noProof/>
        </w:rPr>
        <w:t>Carbon Credits (Carbon Farming Initiative) (Destruction of Methane Generated from Dairy Manure in Covered Anaerobic Ponds) Methodology Determination 2012</w:t>
      </w:r>
      <w:r>
        <w:rPr>
          <w:noProof/>
        </w:rPr>
        <w:t xml:space="preserve"> </w:t>
      </w:r>
      <w:r w:rsidRPr="000E6FB5">
        <w:t>[F2012L02571]</w:t>
      </w:r>
      <w:r>
        <w:t>; and</w:t>
      </w:r>
    </w:p>
    <w:p w:rsidR="001E0AC1" w:rsidRPr="00B54538" w:rsidRDefault="001E0AC1" w:rsidP="001E0AC1">
      <w:pPr>
        <w:pStyle w:val="Heading3"/>
      </w:pPr>
      <w:r w:rsidRPr="00310C67">
        <w:rPr>
          <w:noProof/>
        </w:rPr>
        <w:t>Carbon Credits (Carbon Farming Initiative) (Destruction of Methane from Piggeries using Engineered Biodigesters) Methodology Determination 2013</w:t>
      </w:r>
      <w:r>
        <w:rPr>
          <w:noProof/>
        </w:rPr>
        <w:t xml:space="preserve"> </w:t>
      </w:r>
      <w:r w:rsidRPr="000E6FB5">
        <w:t>[F2013L00124]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1E0AC1" w:rsidRPr="00B54538" w:rsidTr="001E0AC1">
        <w:tc>
          <w:tcPr>
            <w:tcW w:w="2552" w:type="dxa"/>
          </w:tcPr>
          <w:p w:rsidR="001E0AC1" w:rsidRPr="003B6490" w:rsidRDefault="001E0AC1" w:rsidP="001E0AC1">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Purpose</w:t>
            </w:r>
          </w:p>
        </w:tc>
        <w:tc>
          <w:tcPr>
            <w:tcW w:w="6520" w:type="dxa"/>
          </w:tcPr>
          <w:p w:rsidR="001E0AC1" w:rsidRPr="003B6490" w:rsidRDefault="001E0AC1" w:rsidP="001E0AC1">
            <w:pPr>
              <w:pStyle w:val="letterheadbody"/>
              <w:spacing w:line="264" w:lineRule="auto"/>
              <w:ind w:left="0"/>
              <w:rPr>
                <w:rFonts w:ascii="Times New Roman" w:hAnsi="Times New Roman"/>
                <w:sz w:val="24"/>
                <w:szCs w:val="24"/>
              </w:rPr>
            </w:pPr>
            <w:r w:rsidRPr="00310C67">
              <w:rPr>
                <w:rFonts w:ascii="Times New Roman" w:hAnsi="Times New Roman"/>
                <w:noProof/>
                <w:sz w:val="24"/>
                <w:szCs w:val="24"/>
              </w:rPr>
              <w:t xml:space="preserve">Sets out the detailed rules for implementing and monitoring an agricultural emissions avoidance project under the Carbon Farming Initiative (CFI) to </w:t>
            </w:r>
            <w:r>
              <w:rPr>
                <w:rFonts w:ascii="Times New Roman" w:hAnsi="Times New Roman"/>
                <w:noProof/>
                <w:sz w:val="24"/>
                <w:szCs w:val="24"/>
              </w:rPr>
              <w:t xml:space="preserve">capture biogas generated from dairy farms and to </w:t>
            </w:r>
            <w:r w:rsidRPr="00310C67">
              <w:rPr>
                <w:rFonts w:ascii="Times New Roman" w:hAnsi="Times New Roman"/>
                <w:noProof/>
                <w:sz w:val="24"/>
                <w:szCs w:val="24"/>
              </w:rPr>
              <w:t>reduce the methane generated from m</w:t>
            </w:r>
            <w:r>
              <w:rPr>
                <w:rFonts w:ascii="Times New Roman" w:hAnsi="Times New Roman"/>
                <w:noProof/>
                <w:sz w:val="24"/>
                <w:szCs w:val="24"/>
              </w:rPr>
              <w:t>anure in conventional piggeries</w:t>
            </w:r>
          </w:p>
        </w:tc>
      </w:tr>
      <w:tr w:rsidR="001E0AC1" w:rsidRPr="00B54538" w:rsidTr="001E0AC1">
        <w:tc>
          <w:tcPr>
            <w:tcW w:w="2552" w:type="dxa"/>
          </w:tcPr>
          <w:p w:rsidR="001E0AC1" w:rsidRPr="003B6490" w:rsidRDefault="001E0AC1" w:rsidP="001E0AC1">
            <w:pPr>
              <w:pStyle w:val="letterheadbody"/>
              <w:spacing w:line="264" w:lineRule="auto"/>
              <w:ind w:left="0"/>
              <w:rPr>
                <w:rFonts w:ascii="Times New Roman" w:hAnsi="Times New Roman"/>
                <w:sz w:val="24"/>
                <w:szCs w:val="24"/>
              </w:rPr>
            </w:pPr>
            <w:r>
              <w:rPr>
                <w:rFonts w:ascii="Times New Roman" w:hAnsi="Times New Roman"/>
                <w:b/>
                <w:sz w:val="24"/>
                <w:szCs w:val="24"/>
              </w:rPr>
              <w:t>Last day to disallow</w:t>
            </w:r>
          </w:p>
        </w:tc>
        <w:tc>
          <w:tcPr>
            <w:tcW w:w="6520" w:type="dxa"/>
          </w:tcPr>
          <w:p w:rsidR="001E0AC1" w:rsidRPr="003B6490" w:rsidRDefault="001E0AC1" w:rsidP="001E0AC1">
            <w:pPr>
              <w:pStyle w:val="letterheadbody"/>
              <w:spacing w:line="264" w:lineRule="auto"/>
              <w:ind w:left="0"/>
              <w:rPr>
                <w:rFonts w:ascii="Times New Roman" w:hAnsi="Times New Roman"/>
                <w:sz w:val="24"/>
                <w:szCs w:val="24"/>
              </w:rPr>
            </w:pPr>
            <w:r>
              <w:rPr>
                <w:rFonts w:ascii="Times New Roman" w:hAnsi="Times New Roman"/>
                <w:sz w:val="24"/>
                <w:szCs w:val="24"/>
              </w:rPr>
              <w:t>16 May 2013</w:t>
            </w:r>
          </w:p>
        </w:tc>
      </w:tr>
      <w:tr w:rsidR="001E0AC1" w:rsidRPr="00B54538" w:rsidTr="001E0AC1">
        <w:tc>
          <w:tcPr>
            <w:tcW w:w="2552" w:type="dxa"/>
          </w:tcPr>
          <w:p w:rsidR="001E0AC1" w:rsidRPr="003B6490" w:rsidRDefault="001E0AC1" w:rsidP="001E0AC1">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Authorising legislation</w:t>
            </w:r>
          </w:p>
        </w:tc>
        <w:tc>
          <w:tcPr>
            <w:tcW w:w="6520" w:type="dxa"/>
          </w:tcPr>
          <w:p w:rsidR="001E0AC1" w:rsidRPr="00316FEB" w:rsidRDefault="001E0AC1" w:rsidP="001E0AC1">
            <w:pPr>
              <w:pStyle w:val="letterheadbody"/>
              <w:spacing w:line="264" w:lineRule="auto"/>
              <w:ind w:left="0"/>
              <w:rPr>
                <w:rFonts w:ascii="Times New Roman" w:hAnsi="Times New Roman"/>
                <w:i/>
                <w:sz w:val="24"/>
                <w:szCs w:val="24"/>
              </w:rPr>
            </w:pPr>
            <w:r w:rsidRPr="00316FEB">
              <w:rPr>
                <w:rFonts w:ascii="Times New Roman" w:hAnsi="Times New Roman"/>
                <w:i/>
                <w:noProof/>
                <w:sz w:val="24"/>
                <w:szCs w:val="24"/>
              </w:rPr>
              <w:t>Carbon Credits (Carbon Farming Initiative) Act 2011</w:t>
            </w:r>
          </w:p>
        </w:tc>
      </w:tr>
      <w:tr w:rsidR="001E0AC1" w:rsidRPr="00B54538" w:rsidTr="001E0AC1">
        <w:tc>
          <w:tcPr>
            <w:tcW w:w="2552" w:type="dxa"/>
          </w:tcPr>
          <w:p w:rsidR="001E0AC1" w:rsidRPr="003B6490" w:rsidRDefault="001E0AC1" w:rsidP="001E0AC1">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Department</w:t>
            </w:r>
          </w:p>
        </w:tc>
        <w:tc>
          <w:tcPr>
            <w:tcW w:w="6520" w:type="dxa"/>
          </w:tcPr>
          <w:p w:rsidR="001E0AC1" w:rsidRPr="003B6490" w:rsidRDefault="001E0AC1" w:rsidP="001E0AC1">
            <w:pPr>
              <w:pStyle w:val="letterheadbody"/>
              <w:spacing w:line="264" w:lineRule="auto"/>
              <w:ind w:left="0"/>
              <w:rPr>
                <w:rFonts w:ascii="Times New Roman" w:hAnsi="Times New Roman"/>
                <w:sz w:val="24"/>
                <w:szCs w:val="24"/>
              </w:rPr>
            </w:pPr>
            <w:r w:rsidRPr="00310C67">
              <w:rPr>
                <w:rFonts w:ascii="Times New Roman" w:hAnsi="Times New Roman"/>
                <w:noProof/>
                <w:sz w:val="24"/>
                <w:szCs w:val="24"/>
              </w:rPr>
              <w:t>Climate Change and Energy Efficiency</w:t>
            </w:r>
          </w:p>
        </w:tc>
      </w:tr>
    </w:tbl>
    <w:p w:rsidR="001E0AC1" w:rsidRPr="00B54538" w:rsidRDefault="001E0AC1" w:rsidP="001E0AC1">
      <w:pPr>
        <w:spacing w:after="0"/>
        <w:rPr>
          <w:szCs w:val="26"/>
        </w:rPr>
      </w:pPr>
    </w:p>
    <w:p w:rsidR="001E0AC1" w:rsidRDefault="001E0AC1" w:rsidP="001E0AC1">
      <w:pPr>
        <w:spacing w:after="0"/>
        <w:rPr>
          <w:b/>
          <w:szCs w:val="26"/>
        </w:rPr>
      </w:pPr>
      <w:r>
        <w:rPr>
          <w:b/>
          <w:szCs w:val="26"/>
        </w:rPr>
        <w:t>ISSUE:</w:t>
      </w:r>
    </w:p>
    <w:p w:rsidR="001E0AC1" w:rsidRPr="00B54538" w:rsidRDefault="001E0AC1" w:rsidP="001E0AC1">
      <w:pPr>
        <w:pStyle w:val="Heading4"/>
        <w:numPr>
          <w:ilvl w:val="3"/>
          <w:numId w:val="21"/>
        </w:numPr>
        <w:spacing w:before="120" w:after="120"/>
        <w:rPr>
          <w:noProof/>
        </w:rPr>
      </w:pPr>
      <w:r w:rsidRPr="00310C67">
        <w:rPr>
          <w:noProof/>
        </w:rPr>
        <w:t>Vague or un</w:t>
      </w:r>
      <w:r>
        <w:rPr>
          <w:noProof/>
        </w:rPr>
        <w:t>certain terminology</w:t>
      </w:r>
    </w:p>
    <w:p w:rsidR="001E0AC1" w:rsidRPr="00310C67" w:rsidRDefault="001E0AC1" w:rsidP="001E0AC1">
      <w:pPr>
        <w:rPr>
          <w:noProof/>
          <w:szCs w:val="26"/>
        </w:rPr>
      </w:pPr>
      <w:r w:rsidRPr="00310C67">
        <w:rPr>
          <w:noProof/>
          <w:szCs w:val="26"/>
        </w:rPr>
        <w:t>The instrument</w:t>
      </w:r>
      <w:r>
        <w:rPr>
          <w:noProof/>
          <w:szCs w:val="26"/>
        </w:rPr>
        <w:t>s,</w:t>
      </w:r>
      <w:r w:rsidRPr="00310C67">
        <w:rPr>
          <w:noProof/>
          <w:szCs w:val="26"/>
        </w:rPr>
        <w:t xml:space="preserve"> </w:t>
      </w:r>
      <w:r>
        <w:rPr>
          <w:noProof/>
          <w:szCs w:val="26"/>
        </w:rPr>
        <w:t xml:space="preserve">respectively, </w:t>
      </w:r>
      <w:r w:rsidRPr="00310C67">
        <w:rPr>
          <w:noProof/>
          <w:szCs w:val="26"/>
        </w:rPr>
        <w:t xml:space="preserve">set out the rules for implementing and monitoring an agricultural emissions avoidance project under the CFI to </w:t>
      </w:r>
      <w:r>
        <w:rPr>
          <w:noProof/>
          <w:szCs w:val="26"/>
        </w:rPr>
        <w:t>capture biogas generated from dairy farms; and to</w:t>
      </w:r>
      <w:r>
        <w:rPr>
          <w:noProof/>
          <w:sz w:val="24"/>
          <w:szCs w:val="24"/>
        </w:rPr>
        <w:t xml:space="preserve"> </w:t>
      </w:r>
      <w:r w:rsidRPr="00310C67">
        <w:rPr>
          <w:noProof/>
          <w:szCs w:val="26"/>
        </w:rPr>
        <w:t xml:space="preserve">reduce the methane generated from manure in conventional piggeries. </w:t>
      </w:r>
      <w:r>
        <w:rPr>
          <w:noProof/>
          <w:szCs w:val="26"/>
        </w:rPr>
        <w:t>Subsection 3.5(4) of the first determination (</w:t>
      </w:r>
      <w:r w:rsidRPr="000E6FB5">
        <w:t>F2012L02571</w:t>
      </w:r>
      <w:r>
        <w:rPr>
          <w:noProof/>
          <w:szCs w:val="26"/>
        </w:rPr>
        <w:t xml:space="preserve">) setting out one </w:t>
      </w:r>
      <w:r>
        <w:rPr>
          <w:noProof/>
          <w:szCs w:val="26"/>
        </w:rPr>
        <w:lastRenderedPageBreak/>
        <w:t>of the methods for measuring solids removal efficiency of the dairy production system; and the table</w:t>
      </w:r>
      <w:r w:rsidRPr="00310C67">
        <w:rPr>
          <w:noProof/>
          <w:szCs w:val="26"/>
        </w:rPr>
        <w:t xml:space="preserve"> in section 5.2</w:t>
      </w:r>
      <w:r>
        <w:rPr>
          <w:noProof/>
          <w:szCs w:val="26"/>
        </w:rPr>
        <w:t xml:space="preserve"> of the second determination (F2013L00124)</w:t>
      </w:r>
      <w:r w:rsidRPr="00310C67">
        <w:rPr>
          <w:noProof/>
          <w:szCs w:val="26"/>
        </w:rPr>
        <w:t>, setting out matters which must be measured for the purposes of calculating baseline emissions, require that certain parameters must be 'sampled on enough occasions to produce an unbiased, representative sample'. While the</w:t>
      </w:r>
      <w:r>
        <w:rPr>
          <w:noProof/>
          <w:szCs w:val="26"/>
        </w:rPr>
        <w:t xml:space="preserve"> committee recognises that ther</w:t>
      </w:r>
      <w:r w:rsidRPr="00310C67">
        <w:rPr>
          <w:noProof/>
          <w:szCs w:val="26"/>
        </w:rPr>
        <w:t xml:space="preserve">e may be a legitimate reason for drafting the requirement in such broad terms, </w:t>
      </w:r>
      <w:r>
        <w:rPr>
          <w:noProof/>
          <w:szCs w:val="26"/>
        </w:rPr>
        <w:t xml:space="preserve">it considers that this </w:t>
      </w:r>
      <w:r w:rsidRPr="00310C67">
        <w:rPr>
          <w:noProof/>
          <w:szCs w:val="26"/>
        </w:rPr>
        <w:t>could be a potentially uncertain requirement.</w:t>
      </w:r>
      <w:r>
        <w:rPr>
          <w:noProof/>
          <w:szCs w:val="26"/>
        </w:rPr>
        <w:t xml:space="preserve"> </w:t>
      </w:r>
      <w:r w:rsidRPr="00D91296">
        <w:rPr>
          <w:b/>
          <w:noProof/>
          <w:szCs w:val="26"/>
        </w:rPr>
        <w:t xml:space="preserve">The committee will therefore seek further information from the </w:t>
      </w:r>
      <w:r>
        <w:rPr>
          <w:b/>
          <w:noProof/>
          <w:szCs w:val="26"/>
        </w:rPr>
        <w:t>p</w:t>
      </w:r>
      <w:r w:rsidRPr="002C5DAE">
        <w:rPr>
          <w:b/>
          <w:noProof/>
          <w:szCs w:val="26"/>
        </w:rPr>
        <w:t xml:space="preserve">arliamentary </w:t>
      </w:r>
      <w:r>
        <w:rPr>
          <w:b/>
          <w:noProof/>
          <w:szCs w:val="26"/>
        </w:rPr>
        <w:t>s</w:t>
      </w:r>
      <w:r w:rsidRPr="002C5DAE">
        <w:rPr>
          <w:b/>
          <w:noProof/>
          <w:szCs w:val="26"/>
        </w:rPr>
        <w:t>ecretary</w:t>
      </w:r>
      <w:r w:rsidRPr="00310C67">
        <w:rPr>
          <w:noProof/>
          <w:szCs w:val="26"/>
        </w:rPr>
        <w:t>.</w:t>
      </w:r>
    </w:p>
    <w:p w:rsidR="001E0AC1" w:rsidRPr="00B54538" w:rsidRDefault="001E0AC1" w:rsidP="009F02ED">
      <w:pPr>
        <w:pStyle w:val="Heading3"/>
        <w:spacing w:before="360"/>
      </w:pPr>
      <w:r w:rsidRPr="00310C67">
        <w:rPr>
          <w:noProof/>
        </w:rPr>
        <w:t>CASA EX180/12 - Exemption - maintenance on limited category and experimental aircraft</w:t>
      </w:r>
      <w:r>
        <w:rPr>
          <w:noProof/>
        </w:rPr>
        <w:t xml:space="preserve"> </w:t>
      </w:r>
      <w:r>
        <w:t>[F2013L00096]</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1E0AC1" w:rsidRPr="00B54538" w:rsidTr="001E0AC1">
        <w:tc>
          <w:tcPr>
            <w:tcW w:w="2552" w:type="dxa"/>
          </w:tcPr>
          <w:p w:rsidR="001E0AC1" w:rsidRPr="003B6490" w:rsidRDefault="001E0AC1" w:rsidP="001E0AC1">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Purpose</w:t>
            </w:r>
          </w:p>
        </w:tc>
        <w:tc>
          <w:tcPr>
            <w:tcW w:w="6520" w:type="dxa"/>
          </w:tcPr>
          <w:p w:rsidR="001E0AC1" w:rsidRPr="003B6490" w:rsidRDefault="001E0AC1" w:rsidP="001E0AC1">
            <w:pPr>
              <w:pStyle w:val="letterheadbody"/>
              <w:spacing w:line="264" w:lineRule="auto"/>
              <w:ind w:left="0"/>
              <w:rPr>
                <w:rFonts w:ascii="Times New Roman" w:hAnsi="Times New Roman"/>
                <w:sz w:val="24"/>
                <w:szCs w:val="24"/>
              </w:rPr>
            </w:pPr>
            <w:r w:rsidRPr="00310C67">
              <w:rPr>
                <w:rFonts w:ascii="Times New Roman" w:hAnsi="Times New Roman"/>
                <w:noProof/>
                <w:sz w:val="24"/>
                <w:szCs w:val="24"/>
              </w:rPr>
              <w:t>Exempts persons carrying out maintenance on limited category or experimental aircraft from compliance with the requirements of regulation 42U and paragraphs 42W(2)(b), (4)(a) and (4)(c) of the Civil Aviation Regulations 1988, subjec</w:t>
            </w:r>
            <w:r>
              <w:rPr>
                <w:rFonts w:ascii="Times New Roman" w:hAnsi="Times New Roman"/>
                <w:noProof/>
                <w:sz w:val="24"/>
                <w:szCs w:val="24"/>
              </w:rPr>
              <w:t>t to conditions and limitations</w:t>
            </w:r>
          </w:p>
        </w:tc>
      </w:tr>
      <w:tr w:rsidR="001E0AC1" w:rsidRPr="00B54538" w:rsidTr="001E0AC1">
        <w:tc>
          <w:tcPr>
            <w:tcW w:w="2552" w:type="dxa"/>
          </w:tcPr>
          <w:p w:rsidR="001E0AC1" w:rsidRPr="003B6490" w:rsidRDefault="001E0AC1" w:rsidP="001E0AC1">
            <w:pPr>
              <w:pStyle w:val="letterheadbody"/>
              <w:spacing w:line="264" w:lineRule="auto"/>
              <w:ind w:left="0"/>
              <w:rPr>
                <w:rFonts w:ascii="Times New Roman" w:hAnsi="Times New Roman"/>
                <w:sz w:val="24"/>
                <w:szCs w:val="24"/>
              </w:rPr>
            </w:pPr>
            <w:r>
              <w:rPr>
                <w:rFonts w:ascii="Times New Roman" w:hAnsi="Times New Roman"/>
                <w:b/>
                <w:sz w:val="24"/>
                <w:szCs w:val="24"/>
              </w:rPr>
              <w:t>Last day to disallow</w:t>
            </w:r>
          </w:p>
        </w:tc>
        <w:tc>
          <w:tcPr>
            <w:tcW w:w="6520" w:type="dxa"/>
          </w:tcPr>
          <w:p w:rsidR="001E0AC1" w:rsidRPr="003B6490" w:rsidRDefault="001E0AC1" w:rsidP="001E0AC1">
            <w:pPr>
              <w:pStyle w:val="letterheadbody"/>
              <w:spacing w:line="264" w:lineRule="auto"/>
              <w:ind w:left="0"/>
              <w:rPr>
                <w:rFonts w:ascii="Times New Roman" w:hAnsi="Times New Roman"/>
                <w:sz w:val="24"/>
                <w:szCs w:val="24"/>
              </w:rPr>
            </w:pPr>
            <w:r>
              <w:rPr>
                <w:rFonts w:ascii="Times New Roman" w:hAnsi="Times New Roman"/>
                <w:sz w:val="24"/>
                <w:szCs w:val="24"/>
              </w:rPr>
              <w:t>15 May 2013</w:t>
            </w:r>
          </w:p>
        </w:tc>
      </w:tr>
      <w:tr w:rsidR="001E0AC1" w:rsidRPr="00B54538" w:rsidTr="001E0AC1">
        <w:tc>
          <w:tcPr>
            <w:tcW w:w="2552" w:type="dxa"/>
          </w:tcPr>
          <w:p w:rsidR="001E0AC1" w:rsidRPr="003B6490" w:rsidRDefault="001E0AC1" w:rsidP="001E0AC1">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Authorising legislation</w:t>
            </w:r>
          </w:p>
        </w:tc>
        <w:tc>
          <w:tcPr>
            <w:tcW w:w="6520" w:type="dxa"/>
          </w:tcPr>
          <w:p w:rsidR="001E0AC1" w:rsidRPr="003B6490" w:rsidRDefault="001E0AC1" w:rsidP="001E0AC1">
            <w:pPr>
              <w:pStyle w:val="letterheadbody"/>
              <w:spacing w:line="264" w:lineRule="auto"/>
              <w:ind w:left="0"/>
              <w:rPr>
                <w:rFonts w:ascii="Times New Roman" w:hAnsi="Times New Roman"/>
                <w:sz w:val="24"/>
                <w:szCs w:val="24"/>
              </w:rPr>
            </w:pPr>
            <w:r w:rsidRPr="00310C67">
              <w:rPr>
                <w:rFonts w:ascii="Times New Roman" w:hAnsi="Times New Roman"/>
                <w:noProof/>
                <w:sz w:val="24"/>
                <w:szCs w:val="24"/>
              </w:rPr>
              <w:t>Civil Aviation Safety Regulations 1998</w:t>
            </w:r>
          </w:p>
        </w:tc>
      </w:tr>
      <w:tr w:rsidR="001E0AC1" w:rsidRPr="00B54538" w:rsidTr="001E0AC1">
        <w:tc>
          <w:tcPr>
            <w:tcW w:w="2552" w:type="dxa"/>
          </w:tcPr>
          <w:p w:rsidR="001E0AC1" w:rsidRPr="003B6490" w:rsidRDefault="001E0AC1" w:rsidP="001E0AC1">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Department</w:t>
            </w:r>
          </w:p>
        </w:tc>
        <w:tc>
          <w:tcPr>
            <w:tcW w:w="6520" w:type="dxa"/>
          </w:tcPr>
          <w:p w:rsidR="001E0AC1" w:rsidRPr="003B6490" w:rsidRDefault="001E0AC1" w:rsidP="001E0AC1">
            <w:pPr>
              <w:pStyle w:val="letterheadbody"/>
              <w:spacing w:line="264" w:lineRule="auto"/>
              <w:ind w:left="0"/>
              <w:rPr>
                <w:rFonts w:ascii="Times New Roman" w:hAnsi="Times New Roman"/>
                <w:sz w:val="24"/>
                <w:szCs w:val="24"/>
              </w:rPr>
            </w:pPr>
            <w:r w:rsidRPr="00310C67">
              <w:rPr>
                <w:rFonts w:ascii="Times New Roman" w:hAnsi="Times New Roman"/>
                <w:noProof/>
                <w:sz w:val="24"/>
                <w:szCs w:val="24"/>
              </w:rPr>
              <w:t>Infrastructure and Transport</w:t>
            </w:r>
          </w:p>
        </w:tc>
      </w:tr>
    </w:tbl>
    <w:p w:rsidR="001E0AC1" w:rsidRPr="00B54538" w:rsidRDefault="001E0AC1" w:rsidP="001E0AC1">
      <w:pPr>
        <w:spacing w:after="0"/>
        <w:rPr>
          <w:szCs w:val="26"/>
        </w:rPr>
      </w:pPr>
    </w:p>
    <w:p w:rsidR="001E0AC1" w:rsidRDefault="001E0AC1" w:rsidP="001E0AC1">
      <w:pPr>
        <w:spacing w:after="0"/>
        <w:rPr>
          <w:b/>
          <w:szCs w:val="26"/>
        </w:rPr>
      </w:pPr>
      <w:r>
        <w:rPr>
          <w:b/>
          <w:szCs w:val="26"/>
        </w:rPr>
        <w:t>ISSUE:</w:t>
      </w:r>
    </w:p>
    <w:p w:rsidR="001E0AC1" w:rsidRPr="00B54538" w:rsidRDefault="001E0AC1" w:rsidP="001E0AC1">
      <w:pPr>
        <w:pStyle w:val="Heading4"/>
        <w:numPr>
          <w:ilvl w:val="3"/>
          <w:numId w:val="21"/>
        </w:numPr>
        <w:spacing w:before="120" w:after="120"/>
        <w:rPr>
          <w:noProof/>
        </w:rPr>
      </w:pPr>
      <w:r w:rsidRPr="00310C67">
        <w:rPr>
          <w:noProof/>
        </w:rPr>
        <w:t xml:space="preserve">Insufficient explanation provided </w:t>
      </w:r>
      <w:r>
        <w:rPr>
          <w:noProof/>
        </w:rPr>
        <w:t xml:space="preserve">regarding </w:t>
      </w:r>
      <w:r w:rsidRPr="00310C67">
        <w:rPr>
          <w:noProof/>
        </w:rPr>
        <w:t>consultation</w:t>
      </w:r>
    </w:p>
    <w:p w:rsidR="001E0AC1" w:rsidRPr="00310C67" w:rsidRDefault="001E0AC1" w:rsidP="001E0AC1">
      <w:pPr>
        <w:pStyle w:val="Level1"/>
        <w:numPr>
          <w:ilvl w:val="0"/>
          <w:numId w:val="0"/>
        </w:numPr>
        <w:rPr>
          <w:noProof/>
        </w:rPr>
      </w:pPr>
      <w:r w:rsidRPr="00E2599D">
        <w:rPr>
          <w:noProof/>
        </w:rPr>
        <w:t xml:space="preserve">Section 17 of the </w:t>
      </w:r>
      <w:r w:rsidRPr="00E2599D">
        <w:rPr>
          <w:i/>
          <w:noProof/>
        </w:rPr>
        <w:t>Legislative Instruments Act 2003</w:t>
      </w:r>
      <w:r w:rsidRPr="00E2599D">
        <w:rPr>
          <w:noProof/>
        </w:rPr>
        <w:t xml:space="preserve"> 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ES which must accompany an instrument is required to describe the nature of any consultation that has been carried out or, if there has been no consultation, to explain w</w:t>
      </w:r>
      <w:r>
        <w:rPr>
          <w:noProof/>
        </w:rPr>
        <w:t>hy none was undertaken (section </w:t>
      </w:r>
      <w:r w:rsidRPr="00E2599D">
        <w:rPr>
          <w:noProof/>
        </w:rPr>
        <w:t>26).</w:t>
      </w:r>
      <w:r>
        <w:rPr>
          <w:noProof/>
        </w:rPr>
        <w:t xml:space="preserve"> </w:t>
      </w:r>
      <w:r w:rsidRPr="00E2599D">
        <w:rPr>
          <w:noProof/>
          <w:szCs w:val="26"/>
        </w:rPr>
        <w:t xml:space="preserve">With reference to these requirements, the committee notes that the ES </w:t>
      </w:r>
      <w:r>
        <w:rPr>
          <w:noProof/>
          <w:szCs w:val="26"/>
        </w:rPr>
        <w:t xml:space="preserve">for </w:t>
      </w:r>
      <w:r w:rsidRPr="00E2599D">
        <w:rPr>
          <w:noProof/>
          <w:szCs w:val="26"/>
        </w:rPr>
        <w:t>the instrument state</w:t>
      </w:r>
      <w:r>
        <w:rPr>
          <w:noProof/>
          <w:szCs w:val="26"/>
        </w:rPr>
        <w:t>s</w:t>
      </w:r>
      <w:r w:rsidRPr="00310C67">
        <w:rPr>
          <w:noProof/>
        </w:rPr>
        <w:t>:</w:t>
      </w:r>
    </w:p>
    <w:p w:rsidR="001E0AC1" w:rsidRPr="00310C67" w:rsidRDefault="001E0AC1" w:rsidP="001E0AC1">
      <w:pPr>
        <w:pStyle w:val="Quote"/>
        <w:rPr>
          <w:noProof/>
        </w:rPr>
      </w:pPr>
      <w:r w:rsidRPr="00310C67">
        <w:rPr>
          <w:noProof/>
        </w:rPr>
        <w:t>Consultation under section 17 of the LIA has not been undertaken in this case. The exemption is a re-issue of CASA EX11/11 with changes made to reflect changes to the Regulations since that exemption was granted.</w:t>
      </w:r>
    </w:p>
    <w:p w:rsidR="001E0AC1" w:rsidRDefault="001E0AC1" w:rsidP="001E0AC1">
      <w:pPr>
        <w:rPr>
          <w:noProof/>
          <w:szCs w:val="26"/>
        </w:rPr>
      </w:pPr>
      <w:r w:rsidRPr="007F49E1">
        <w:rPr>
          <w:noProof/>
          <w:szCs w:val="26"/>
        </w:rPr>
        <w:t>It</w:t>
      </w:r>
      <w:r>
        <w:rPr>
          <w:noProof/>
          <w:szCs w:val="26"/>
        </w:rPr>
        <w:t xml:space="preserve"> is not clear to the committee how, of itself, the stated reason for not consulting in relation to the making of the instrument necessarily relates to a conclusion by the instrument maker that consultation was 'unnecessary' or 'inappropriate' (as provided for by section 18).</w:t>
      </w:r>
      <w:r w:rsidRPr="00134E6B">
        <w:rPr>
          <w:b/>
          <w:noProof/>
          <w:szCs w:val="26"/>
        </w:rPr>
        <w:t xml:space="preserve"> The committee </w:t>
      </w:r>
      <w:r>
        <w:rPr>
          <w:b/>
          <w:noProof/>
          <w:szCs w:val="26"/>
        </w:rPr>
        <w:t xml:space="preserve">will therefore </w:t>
      </w:r>
      <w:r w:rsidRPr="00134E6B">
        <w:rPr>
          <w:b/>
          <w:noProof/>
          <w:szCs w:val="26"/>
        </w:rPr>
        <w:t>seek further information from the minister</w:t>
      </w:r>
      <w:r>
        <w:rPr>
          <w:b/>
          <w:noProof/>
          <w:szCs w:val="26"/>
        </w:rPr>
        <w:t xml:space="preserve"> </w:t>
      </w:r>
      <w:r w:rsidRPr="00940F8E">
        <w:rPr>
          <w:b/>
          <w:noProof/>
        </w:rPr>
        <w:t xml:space="preserve">and request that the ES be updated in accordance with the requirements of the </w:t>
      </w:r>
      <w:r w:rsidRPr="00E2599D">
        <w:rPr>
          <w:b/>
          <w:i/>
          <w:noProof/>
        </w:rPr>
        <w:t>Legislative Instruments Act 2003</w:t>
      </w:r>
      <w:r w:rsidRPr="00310C67">
        <w:rPr>
          <w:noProof/>
          <w:szCs w:val="26"/>
        </w:rPr>
        <w:t>.</w:t>
      </w:r>
    </w:p>
    <w:p w:rsidR="001E0AC1" w:rsidRDefault="001E0AC1" w:rsidP="001E0AC1">
      <w:pPr>
        <w:pStyle w:val="Heading3"/>
        <w:rPr>
          <w:noProof/>
        </w:rPr>
      </w:pPr>
      <w:r w:rsidRPr="00310C67">
        <w:rPr>
          <w:noProof/>
        </w:rPr>
        <w:lastRenderedPageBreak/>
        <w:t>CASA EX01/13 - Exemption - recency requirements for night flying (Alliance Airlines Pty Limited)</w:t>
      </w:r>
      <w:r>
        <w:rPr>
          <w:noProof/>
        </w:rPr>
        <w:t xml:space="preserve"> </w:t>
      </w:r>
      <w:r w:rsidRPr="000F0C29">
        <w:t>[F2013L00114]</w:t>
      </w:r>
      <w:r>
        <w:rPr>
          <w:noProof/>
        </w:rPr>
        <w:t>; and</w:t>
      </w:r>
    </w:p>
    <w:p w:rsidR="001E0AC1" w:rsidRPr="00B54538" w:rsidRDefault="001E0AC1" w:rsidP="001E0AC1">
      <w:pPr>
        <w:pStyle w:val="Heading3"/>
      </w:pPr>
      <w:r w:rsidRPr="00310C67">
        <w:rPr>
          <w:noProof/>
        </w:rPr>
        <w:t xml:space="preserve">CASA EX08/13 - Exemption - from standard take-off and landing minima - DHL Air </w:t>
      </w:r>
      <w:r>
        <w:rPr>
          <w:noProof/>
        </w:rPr>
        <w:t xml:space="preserve">Limited </w:t>
      </w:r>
      <w:r w:rsidRPr="000F0C29">
        <w:t>[F2013L00145]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1E0AC1" w:rsidRPr="00B54538" w:rsidTr="001E0AC1">
        <w:tc>
          <w:tcPr>
            <w:tcW w:w="2552" w:type="dxa"/>
          </w:tcPr>
          <w:p w:rsidR="001E0AC1" w:rsidRPr="003B6490" w:rsidRDefault="001E0AC1" w:rsidP="001E0AC1">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Purpose</w:t>
            </w:r>
          </w:p>
        </w:tc>
        <w:tc>
          <w:tcPr>
            <w:tcW w:w="6520" w:type="dxa"/>
          </w:tcPr>
          <w:p w:rsidR="001E0AC1" w:rsidRPr="003B6490" w:rsidRDefault="001E0AC1" w:rsidP="001E0AC1">
            <w:pPr>
              <w:pStyle w:val="letterheadbody"/>
              <w:spacing w:line="264" w:lineRule="auto"/>
              <w:ind w:left="0"/>
              <w:rPr>
                <w:rFonts w:ascii="Times New Roman" w:hAnsi="Times New Roman"/>
                <w:sz w:val="24"/>
                <w:szCs w:val="24"/>
              </w:rPr>
            </w:pPr>
            <w:r>
              <w:rPr>
                <w:rFonts w:ascii="Times New Roman" w:hAnsi="Times New Roman"/>
                <w:noProof/>
                <w:sz w:val="24"/>
                <w:szCs w:val="24"/>
              </w:rPr>
              <w:t>(1) Exe</w:t>
            </w:r>
            <w:r w:rsidRPr="00310C67">
              <w:rPr>
                <w:rFonts w:ascii="Times New Roman" w:hAnsi="Times New Roman"/>
                <w:noProof/>
                <w:sz w:val="24"/>
                <w:szCs w:val="24"/>
              </w:rPr>
              <w:t>mpts the pilot in command flying for Alliance Airlines Pty Ltd from compliance with paragraphs 5.109 (1) (b) and 5.170 (1) (b) of the Civil Aviation Regulations 1988 to update their night recency requirem</w:t>
            </w:r>
            <w:r>
              <w:rPr>
                <w:rFonts w:ascii="Times New Roman" w:hAnsi="Times New Roman"/>
                <w:noProof/>
                <w:sz w:val="24"/>
                <w:szCs w:val="24"/>
              </w:rPr>
              <w:t xml:space="preserve">ents by using flight simulators; and (2) </w:t>
            </w:r>
            <w:r w:rsidRPr="00310C67">
              <w:rPr>
                <w:rFonts w:ascii="Times New Roman" w:hAnsi="Times New Roman"/>
                <w:noProof/>
                <w:sz w:val="24"/>
                <w:szCs w:val="24"/>
              </w:rPr>
              <w:t>Allows DHL Air Ltd to continue to conduct take-offs and landings in meteorological conditions below the stand</w:t>
            </w:r>
            <w:r>
              <w:rPr>
                <w:rFonts w:ascii="Times New Roman" w:hAnsi="Times New Roman"/>
                <w:noProof/>
                <w:sz w:val="24"/>
                <w:szCs w:val="24"/>
              </w:rPr>
              <w:t>ard take-off and landing minima</w:t>
            </w:r>
          </w:p>
        </w:tc>
      </w:tr>
      <w:tr w:rsidR="001E0AC1" w:rsidRPr="00B54538" w:rsidTr="001E0AC1">
        <w:tc>
          <w:tcPr>
            <w:tcW w:w="2552" w:type="dxa"/>
          </w:tcPr>
          <w:p w:rsidR="001E0AC1" w:rsidRPr="003B6490" w:rsidRDefault="001E0AC1" w:rsidP="001E0AC1">
            <w:pPr>
              <w:pStyle w:val="letterheadbody"/>
              <w:spacing w:line="264" w:lineRule="auto"/>
              <w:ind w:left="0"/>
              <w:rPr>
                <w:rFonts w:ascii="Times New Roman" w:hAnsi="Times New Roman"/>
                <w:sz w:val="24"/>
                <w:szCs w:val="24"/>
              </w:rPr>
            </w:pPr>
            <w:r>
              <w:rPr>
                <w:rFonts w:ascii="Times New Roman" w:hAnsi="Times New Roman"/>
                <w:b/>
                <w:sz w:val="24"/>
                <w:szCs w:val="24"/>
              </w:rPr>
              <w:t>Last day to disallow</w:t>
            </w:r>
          </w:p>
        </w:tc>
        <w:tc>
          <w:tcPr>
            <w:tcW w:w="6520" w:type="dxa"/>
          </w:tcPr>
          <w:p w:rsidR="001E0AC1" w:rsidRPr="003B6490" w:rsidRDefault="001E0AC1" w:rsidP="001E0AC1">
            <w:pPr>
              <w:pStyle w:val="letterheadbody"/>
              <w:spacing w:line="264" w:lineRule="auto"/>
              <w:ind w:left="0"/>
              <w:rPr>
                <w:rFonts w:ascii="Times New Roman" w:hAnsi="Times New Roman"/>
                <w:sz w:val="24"/>
                <w:szCs w:val="24"/>
              </w:rPr>
            </w:pPr>
            <w:r>
              <w:rPr>
                <w:rFonts w:ascii="Times New Roman" w:hAnsi="Times New Roman"/>
                <w:sz w:val="24"/>
                <w:szCs w:val="24"/>
              </w:rPr>
              <w:t>15 May 2013 and 16 May 2013</w:t>
            </w:r>
          </w:p>
        </w:tc>
      </w:tr>
      <w:tr w:rsidR="001E0AC1" w:rsidRPr="00B54538" w:rsidTr="001E0AC1">
        <w:tc>
          <w:tcPr>
            <w:tcW w:w="2552" w:type="dxa"/>
          </w:tcPr>
          <w:p w:rsidR="001E0AC1" w:rsidRPr="003B6490" w:rsidRDefault="001E0AC1" w:rsidP="001E0AC1">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Authorising legislation</w:t>
            </w:r>
          </w:p>
        </w:tc>
        <w:tc>
          <w:tcPr>
            <w:tcW w:w="6520" w:type="dxa"/>
          </w:tcPr>
          <w:p w:rsidR="001E0AC1" w:rsidRPr="003B6490" w:rsidRDefault="001E0AC1" w:rsidP="001E0AC1">
            <w:pPr>
              <w:pStyle w:val="letterheadbody"/>
              <w:spacing w:line="264" w:lineRule="auto"/>
              <w:ind w:left="0"/>
              <w:rPr>
                <w:rFonts w:ascii="Times New Roman" w:hAnsi="Times New Roman"/>
                <w:sz w:val="24"/>
                <w:szCs w:val="24"/>
              </w:rPr>
            </w:pPr>
            <w:r w:rsidRPr="00310C67">
              <w:rPr>
                <w:rFonts w:ascii="Times New Roman" w:hAnsi="Times New Roman"/>
                <w:noProof/>
                <w:sz w:val="24"/>
                <w:szCs w:val="24"/>
              </w:rPr>
              <w:t>Civil Aviation Safety Regulations 1998</w:t>
            </w:r>
          </w:p>
        </w:tc>
      </w:tr>
      <w:tr w:rsidR="001E0AC1" w:rsidRPr="00B54538" w:rsidTr="001E0AC1">
        <w:tc>
          <w:tcPr>
            <w:tcW w:w="2552" w:type="dxa"/>
          </w:tcPr>
          <w:p w:rsidR="001E0AC1" w:rsidRPr="003B6490" w:rsidRDefault="001E0AC1" w:rsidP="001E0AC1">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Department</w:t>
            </w:r>
          </w:p>
        </w:tc>
        <w:tc>
          <w:tcPr>
            <w:tcW w:w="6520" w:type="dxa"/>
          </w:tcPr>
          <w:p w:rsidR="001E0AC1" w:rsidRPr="003B6490" w:rsidRDefault="001E0AC1" w:rsidP="001E0AC1">
            <w:pPr>
              <w:pStyle w:val="letterheadbody"/>
              <w:spacing w:line="264" w:lineRule="auto"/>
              <w:ind w:left="0"/>
              <w:rPr>
                <w:rFonts w:ascii="Times New Roman" w:hAnsi="Times New Roman"/>
                <w:sz w:val="24"/>
                <w:szCs w:val="24"/>
              </w:rPr>
            </w:pPr>
            <w:r w:rsidRPr="00310C67">
              <w:rPr>
                <w:rFonts w:ascii="Times New Roman" w:hAnsi="Times New Roman"/>
                <w:noProof/>
                <w:sz w:val="24"/>
                <w:szCs w:val="24"/>
              </w:rPr>
              <w:t>Infrastructure and Transport</w:t>
            </w:r>
          </w:p>
        </w:tc>
      </w:tr>
    </w:tbl>
    <w:p w:rsidR="001E0AC1" w:rsidRPr="00B54538" w:rsidRDefault="001E0AC1" w:rsidP="001E0AC1">
      <w:pPr>
        <w:spacing w:after="0"/>
        <w:rPr>
          <w:szCs w:val="26"/>
        </w:rPr>
      </w:pPr>
    </w:p>
    <w:p w:rsidR="001E0AC1" w:rsidRDefault="001E0AC1" w:rsidP="001E0AC1">
      <w:pPr>
        <w:spacing w:after="0"/>
        <w:rPr>
          <w:b/>
          <w:szCs w:val="26"/>
        </w:rPr>
      </w:pPr>
      <w:r>
        <w:rPr>
          <w:b/>
          <w:szCs w:val="26"/>
        </w:rPr>
        <w:t>ISSUE:</w:t>
      </w:r>
    </w:p>
    <w:p w:rsidR="001E0AC1" w:rsidRPr="00B54538" w:rsidRDefault="001E0AC1" w:rsidP="001E0AC1">
      <w:pPr>
        <w:pStyle w:val="Heading4"/>
        <w:numPr>
          <w:ilvl w:val="3"/>
          <w:numId w:val="21"/>
        </w:numPr>
        <w:spacing w:before="120" w:after="120"/>
        <w:rPr>
          <w:noProof/>
        </w:rPr>
      </w:pPr>
      <w:r w:rsidRPr="00310C67">
        <w:rPr>
          <w:noProof/>
        </w:rPr>
        <w:t xml:space="preserve">Insufficient explanation provided </w:t>
      </w:r>
      <w:r>
        <w:rPr>
          <w:noProof/>
        </w:rPr>
        <w:t>regarding</w:t>
      </w:r>
      <w:r w:rsidRPr="00310C67">
        <w:rPr>
          <w:noProof/>
        </w:rPr>
        <w:t xml:space="preserve"> consultation</w:t>
      </w:r>
    </w:p>
    <w:p w:rsidR="001E0AC1" w:rsidRDefault="001E0AC1" w:rsidP="001E0AC1">
      <w:pPr>
        <w:pStyle w:val="Level1"/>
        <w:numPr>
          <w:ilvl w:val="0"/>
          <w:numId w:val="0"/>
        </w:numPr>
        <w:rPr>
          <w:noProof/>
          <w:szCs w:val="26"/>
        </w:rPr>
      </w:pPr>
      <w:r w:rsidRPr="00E2599D">
        <w:rPr>
          <w:noProof/>
        </w:rPr>
        <w:t xml:space="preserve">Section 17 of the </w:t>
      </w:r>
      <w:r w:rsidRPr="00E2599D">
        <w:rPr>
          <w:i/>
          <w:noProof/>
        </w:rPr>
        <w:t>Legislative Instruments Act 2003</w:t>
      </w:r>
      <w:r w:rsidRPr="00E2599D">
        <w:rPr>
          <w:noProof/>
        </w:rPr>
        <w:t xml:space="preserve"> 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ES which must accompany an instrument is required to describe the nature of any consultation that has been carried out or, if there has been no consultation, to explain w</w:t>
      </w:r>
      <w:r>
        <w:rPr>
          <w:noProof/>
        </w:rPr>
        <w:t>hy none was undertaken (section </w:t>
      </w:r>
      <w:r w:rsidRPr="00E2599D">
        <w:rPr>
          <w:noProof/>
        </w:rPr>
        <w:t>26).</w:t>
      </w:r>
      <w:r>
        <w:rPr>
          <w:noProof/>
        </w:rPr>
        <w:t xml:space="preserve"> </w:t>
      </w:r>
      <w:r w:rsidRPr="00E2599D">
        <w:rPr>
          <w:noProof/>
          <w:szCs w:val="26"/>
        </w:rPr>
        <w:t xml:space="preserve">With reference to these requirements, the committee notes that the ES </w:t>
      </w:r>
      <w:r>
        <w:rPr>
          <w:noProof/>
          <w:szCs w:val="26"/>
        </w:rPr>
        <w:t xml:space="preserve">for </w:t>
      </w:r>
      <w:r w:rsidRPr="00E2599D">
        <w:rPr>
          <w:noProof/>
          <w:szCs w:val="26"/>
        </w:rPr>
        <w:t>the instrument state</w:t>
      </w:r>
      <w:r>
        <w:rPr>
          <w:noProof/>
          <w:szCs w:val="26"/>
        </w:rPr>
        <w:t>s</w:t>
      </w:r>
      <w:r w:rsidRPr="00E2599D">
        <w:rPr>
          <w:noProof/>
          <w:szCs w:val="26"/>
        </w:rPr>
        <w:t xml:space="preserve"> only </w:t>
      </w:r>
      <w:r w:rsidRPr="00310C67">
        <w:rPr>
          <w:noProof/>
        </w:rPr>
        <w:t xml:space="preserve">that </w:t>
      </w:r>
      <w:r w:rsidRPr="001E0458">
        <w:rPr>
          <w:noProof/>
        </w:rPr>
        <w:t>consultation was not undertaken, that the operators had requested the exemption to replace previous exemptions and that the instruments are in the same terms as 'many instruments issued to foreign operators'.</w:t>
      </w:r>
      <w:r>
        <w:rPr>
          <w:noProof/>
        </w:rPr>
        <w:t xml:space="preserve"> </w:t>
      </w:r>
      <w:r w:rsidRPr="007F49E1">
        <w:rPr>
          <w:noProof/>
          <w:szCs w:val="26"/>
        </w:rPr>
        <w:t>It</w:t>
      </w:r>
      <w:r>
        <w:rPr>
          <w:noProof/>
          <w:szCs w:val="26"/>
        </w:rPr>
        <w:t xml:space="preserve"> is not clear to the committee how, of itself, the stated reason for not consulting in relation to the making of the instrument necessarily relates to a conclusion by the rule maker that consultation was 'unnecessary' or 'inappropriate' (as provided for by section 18).</w:t>
      </w:r>
      <w:r w:rsidRPr="00134E6B">
        <w:rPr>
          <w:b/>
          <w:noProof/>
          <w:szCs w:val="26"/>
        </w:rPr>
        <w:t xml:space="preserve"> The committee </w:t>
      </w:r>
      <w:r>
        <w:rPr>
          <w:b/>
          <w:noProof/>
          <w:szCs w:val="26"/>
        </w:rPr>
        <w:t xml:space="preserve">will therefore </w:t>
      </w:r>
      <w:r w:rsidRPr="00134E6B">
        <w:rPr>
          <w:b/>
          <w:noProof/>
          <w:szCs w:val="26"/>
        </w:rPr>
        <w:t>seek further information from the minister</w:t>
      </w:r>
      <w:r>
        <w:rPr>
          <w:b/>
          <w:noProof/>
          <w:szCs w:val="26"/>
        </w:rPr>
        <w:t xml:space="preserve"> </w:t>
      </w:r>
      <w:r w:rsidRPr="00940F8E">
        <w:rPr>
          <w:b/>
          <w:noProof/>
        </w:rPr>
        <w:t xml:space="preserve">and request that the ES be updated in accordance with the requirements of the </w:t>
      </w:r>
      <w:r w:rsidRPr="00E2599D">
        <w:rPr>
          <w:b/>
          <w:i/>
          <w:noProof/>
        </w:rPr>
        <w:t>Legislative Instruments Act 2003</w:t>
      </w:r>
      <w:r w:rsidRPr="00310C67">
        <w:rPr>
          <w:noProof/>
          <w:szCs w:val="26"/>
        </w:rPr>
        <w:t>.</w:t>
      </w:r>
    </w:p>
    <w:p w:rsidR="001E0AC1" w:rsidRDefault="001E0AC1" w:rsidP="001E0AC1">
      <w:pPr>
        <w:spacing w:after="0"/>
        <w:jc w:val="left"/>
        <w:rPr>
          <w:b/>
          <w:noProof/>
          <w:sz w:val="28"/>
        </w:rPr>
      </w:pPr>
      <w:r>
        <w:rPr>
          <w:noProof/>
        </w:rPr>
        <w:br w:type="page"/>
      </w:r>
    </w:p>
    <w:p w:rsidR="001E0AC1" w:rsidRPr="00B54538" w:rsidRDefault="001E0AC1" w:rsidP="009F02ED">
      <w:pPr>
        <w:pStyle w:val="Heading3"/>
      </w:pPr>
      <w:r w:rsidRPr="00310C67">
        <w:rPr>
          <w:noProof/>
        </w:rPr>
        <w:lastRenderedPageBreak/>
        <w:t xml:space="preserve">Customs Act 1901 - Amendment of Approved Statement Instrument No. 6 of 2013 - Amendment of "Self-Assessed Clearance Declaration (Sea) (To Be Communicated With a Cargo Report)" </w:t>
      </w:r>
      <w:r>
        <w:rPr>
          <w:noProof/>
        </w:rPr>
        <w:t>[F2013L00142]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1E0AC1" w:rsidRPr="00B54538" w:rsidTr="001E0AC1">
        <w:tc>
          <w:tcPr>
            <w:tcW w:w="2552" w:type="dxa"/>
          </w:tcPr>
          <w:p w:rsidR="001E0AC1" w:rsidRPr="003B6490" w:rsidRDefault="001E0AC1" w:rsidP="001E0AC1">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Purpose</w:t>
            </w:r>
          </w:p>
        </w:tc>
        <w:tc>
          <w:tcPr>
            <w:tcW w:w="6520" w:type="dxa"/>
          </w:tcPr>
          <w:p w:rsidR="001E0AC1" w:rsidRPr="003B6490" w:rsidRDefault="001E0AC1" w:rsidP="001E0AC1">
            <w:pPr>
              <w:pStyle w:val="letterheadbody"/>
              <w:spacing w:line="264" w:lineRule="auto"/>
              <w:ind w:left="0"/>
              <w:rPr>
                <w:rFonts w:ascii="Times New Roman" w:hAnsi="Times New Roman"/>
                <w:sz w:val="24"/>
                <w:szCs w:val="24"/>
              </w:rPr>
            </w:pPr>
            <w:r w:rsidRPr="00310C67">
              <w:rPr>
                <w:rFonts w:ascii="Times New Roman" w:hAnsi="Times New Roman"/>
                <w:noProof/>
                <w:sz w:val="24"/>
                <w:szCs w:val="24"/>
              </w:rPr>
              <w:t>Amends the Customs Act 1901 - CEO Instrument of Approval No. 4 of 2006 to update references and the spec</w:t>
            </w:r>
            <w:r>
              <w:rPr>
                <w:rFonts w:ascii="Times New Roman" w:hAnsi="Times New Roman"/>
                <w:noProof/>
                <w:sz w:val="24"/>
                <w:szCs w:val="24"/>
              </w:rPr>
              <w:t>ified low value goods threshold</w:t>
            </w:r>
          </w:p>
        </w:tc>
      </w:tr>
      <w:tr w:rsidR="001E0AC1" w:rsidRPr="00B54538" w:rsidTr="001E0AC1">
        <w:tc>
          <w:tcPr>
            <w:tcW w:w="2552" w:type="dxa"/>
          </w:tcPr>
          <w:p w:rsidR="001E0AC1" w:rsidRPr="003B6490" w:rsidRDefault="001E0AC1" w:rsidP="001E0AC1">
            <w:pPr>
              <w:pStyle w:val="letterheadbody"/>
              <w:spacing w:line="264" w:lineRule="auto"/>
              <w:ind w:left="0"/>
              <w:rPr>
                <w:rFonts w:ascii="Times New Roman" w:hAnsi="Times New Roman"/>
                <w:sz w:val="24"/>
                <w:szCs w:val="24"/>
              </w:rPr>
            </w:pPr>
            <w:r>
              <w:rPr>
                <w:rFonts w:ascii="Times New Roman" w:hAnsi="Times New Roman"/>
                <w:b/>
                <w:sz w:val="24"/>
                <w:szCs w:val="24"/>
              </w:rPr>
              <w:t>Last day to disallow</w:t>
            </w:r>
          </w:p>
        </w:tc>
        <w:tc>
          <w:tcPr>
            <w:tcW w:w="6520" w:type="dxa"/>
          </w:tcPr>
          <w:p w:rsidR="001E0AC1" w:rsidRPr="003B6490" w:rsidRDefault="001E0AC1" w:rsidP="001E0AC1">
            <w:pPr>
              <w:pStyle w:val="letterheadbody"/>
              <w:spacing w:line="264" w:lineRule="auto"/>
              <w:ind w:left="0"/>
              <w:rPr>
                <w:rFonts w:ascii="Times New Roman" w:hAnsi="Times New Roman"/>
                <w:sz w:val="24"/>
                <w:szCs w:val="24"/>
              </w:rPr>
            </w:pPr>
            <w:r>
              <w:rPr>
                <w:rFonts w:ascii="Times New Roman" w:hAnsi="Times New Roman"/>
                <w:sz w:val="24"/>
                <w:szCs w:val="24"/>
              </w:rPr>
              <w:t>16 May 2013</w:t>
            </w:r>
          </w:p>
        </w:tc>
      </w:tr>
      <w:tr w:rsidR="001E0AC1" w:rsidRPr="00B54538" w:rsidTr="001E0AC1">
        <w:tc>
          <w:tcPr>
            <w:tcW w:w="2552" w:type="dxa"/>
          </w:tcPr>
          <w:p w:rsidR="001E0AC1" w:rsidRPr="003B6490" w:rsidRDefault="001E0AC1" w:rsidP="001E0AC1">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Authorising legislation</w:t>
            </w:r>
          </w:p>
        </w:tc>
        <w:tc>
          <w:tcPr>
            <w:tcW w:w="6520" w:type="dxa"/>
          </w:tcPr>
          <w:p w:rsidR="001E0AC1" w:rsidRPr="00FB2C50" w:rsidRDefault="001E0AC1" w:rsidP="001E0AC1">
            <w:pPr>
              <w:pStyle w:val="letterheadbody"/>
              <w:spacing w:line="264" w:lineRule="auto"/>
              <w:ind w:left="0"/>
              <w:rPr>
                <w:rFonts w:ascii="Times New Roman" w:hAnsi="Times New Roman"/>
                <w:i/>
                <w:sz w:val="24"/>
                <w:szCs w:val="24"/>
              </w:rPr>
            </w:pPr>
            <w:r w:rsidRPr="00FB2C50">
              <w:rPr>
                <w:rFonts w:ascii="Times New Roman" w:hAnsi="Times New Roman"/>
                <w:i/>
                <w:noProof/>
                <w:sz w:val="24"/>
                <w:szCs w:val="24"/>
              </w:rPr>
              <w:t>Customs Act 1901</w:t>
            </w:r>
          </w:p>
        </w:tc>
      </w:tr>
      <w:tr w:rsidR="001E0AC1" w:rsidRPr="00B54538" w:rsidTr="001E0AC1">
        <w:tc>
          <w:tcPr>
            <w:tcW w:w="2552" w:type="dxa"/>
          </w:tcPr>
          <w:p w:rsidR="001E0AC1" w:rsidRPr="003B6490" w:rsidRDefault="001E0AC1" w:rsidP="001E0AC1">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Department</w:t>
            </w:r>
          </w:p>
        </w:tc>
        <w:tc>
          <w:tcPr>
            <w:tcW w:w="6520" w:type="dxa"/>
          </w:tcPr>
          <w:p w:rsidR="001E0AC1" w:rsidRPr="003B6490" w:rsidRDefault="001E0AC1" w:rsidP="001E0AC1">
            <w:pPr>
              <w:pStyle w:val="letterheadbody"/>
              <w:spacing w:line="264" w:lineRule="auto"/>
              <w:ind w:left="0"/>
              <w:rPr>
                <w:rFonts w:ascii="Times New Roman" w:hAnsi="Times New Roman"/>
                <w:sz w:val="24"/>
                <w:szCs w:val="24"/>
              </w:rPr>
            </w:pPr>
            <w:r w:rsidRPr="00310C67">
              <w:rPr>
                <w:rFonts w:ascii="Times New Roman" w:hAnsi="Times New Roman"/>
                <w:noProof/>
                <w:sz w:val="24"/>
                <w:szCs w:val="24"/>
              </w:rPr>
              <w:t>Attorney-General's</w:t>
            </w:r>
          </w:p>
        </w:tc>
      </w:tr>
    </w:tbl>
    <w:p w:rsidR="001E0AC1" w:rsidRPr="00B54538" w:rsidRDefault="001E0AC1" w:rsidP="001E0AC1">
      <w:pPr>
        <w:spacing w:after="0"/>
        <w:rPr>
          <w:szCs w:val="26"/>
        </w:rPr>
      </w:pPr>
    </w:p>
    <w:p w:rsidR="001E0AC1" w:rsidRDefault="001E0AC1" w:rsidP="001E0AC1">
      <w:pPr>
        <w:spacing w:after="0"/>
        <w:rPr>
          <w:b/>
          <w:szCs w:val="26"/>
        </w:rPr>
      </w:pPr>
      <w:r>
        <w:rPr>
          <w:b/>
          <w:szCs w:val="26"/>
        </w:rPr>
        <w:t>ISSUE:</w:t>
      </w:r>
    </w:p>
    <w:p w:rsidR="001E0AC1" w:rsidRPr="00B54538" w:rsidRDefault="001E0AC1" w:rsidP="001E0AC1">
      <w:pPr>
        <w:pStyle w:val="Heading4"/>
        <w:numPr>
          <w:ilvl w:val="3"/>
          <w:numId w:val="21"/>
        </w:numPr>
        <w:spacing w:before="120" w:after="120"/>
        <w:rPr>
          <w:noProof/>
        </w:rPr>
      </w:pPr>
      <w:r w:rsidRPr="00310C67">
        <w:rPr>
          <w:noProof/>
        </w:rPr>
        <w:t xml:space="preserve">Insufficient explanation provided </w:t>
      </w:r>
      <w:r>
        <w:rPr>
          <w:noProof/>
        </w:rPr>
        <w:t>regarding</w:t>
      </w:r>
      <w:r w:rsidRPr="00310C67">
        <w:rPr>
          <w:noProof/>
        </w:rPr>
        <w:t xml:space="preserve"> consultation</w:t>
      </w:r>
    </w:p>
    <w:p w:rsidR="001E0AC1" w:rsidRPr="00310C67" w:rsidRDefault="001E0AC1" w:rsidP="001E0AC1">
      <w:pPr>
        <w:rPr>
          <w:noProof/>
          <w:szCs w:val="26"/>
        </w:rPr>
      </w:pPr>
      <w:r w:rsidRPr="00E2599D">
        <w:rPr>
          <w:noProof/>
        </w:rPr>
        <w:t xml:space="preserve">Section 17 of the </w:t>
      </w:r>
      <w:r w:rsidRPr="00E2599D">
        <w:rPr>
          <w:i/>
          <w:noProof/>
        </w:rPr>
        <w:t>Legislative Instruments Act 2003</w:t>
      </w:r>
      <w:r w:rsidRPr="00E2599D">
        <w:rPr>
          <w:noProof/>
        </w:rPr>
        <w:t xml:space="preserve"> 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ES which must accompany an instrument is required to describe the nature of any consultation that has been carried out or, if there has been no consultation, to explain w</w:t>
      </w:r>
      <w:r>
        <w:rPr>
          <w:noProof/>
        </w:rPr>
        <w:t>hy none was undertaken (section </w:t>
      </w:r>
      <w:r w:rsidRPr="00E2599D">
        <w:rPr>
          <w:noProof/>
        </w:rPr>
        <w:t>26).</w:t>
      </w:r>
      <w:r>
        <w:rPr>
          <w:noProof/>
        </w:rPr>
        <w:t xml:space="preserve"> </w:t>
      </w:r>
      <w:r w:rsidRPr="00E2599D">
        <w:rPr>
          <w:noProof/>
          <w:szCs w:val="26"/>
        </w:rPr>
        <w:t xml:space="preserve">With reference to these requirements, the committee notes that the ES </w:t>
      </w:r>
      <w:r>
        <w:rPr>
          <w:noProof/>
          <w:szCs w:val="26"/>
        </w:rPr>
        <w:t xml:space="preserve">for </w:t>
      </w:r>
      <w:r w:rsidRPr="00E2599D">
        <w:rPr>
          <w:noProof/>
          <w:szCs w:val="26"/>
        </w:rPr>
        <w:t>the instrument state</w:t>
      </w:r>
      <w:r>
        <w:rPr>
          <w:noProof/>
          <w:szCs w:val="26"/>
        </w:rPr>
        <w:t>s</w:t>
      </w:r>
      <w:r w:rsidRPr="00310C67">
        <w:rPr>
          <w:noProof/>
          <w:szCs w:val="26"/>
        </w:rPr>
        <w:t>:</w:t>
      </w:r>
    </w:p>
    <w:p w:rsidR="001E0AC1" w:rsidRPr="00310C67" w:rsidRDefault="001E0AC1" w:rsidP="001E0AC1">
      <w:pPr>
        <w:pStyle w:val="Quote"/>
        <w:rPr>
          <w:noProof/>
        </w:rPr>
      </w:pPr>
      <w:r w:rsidRPr="00310C67">
        <w:rPr>
          <w:noProof/>
        </w:rPr>
        <w:t>No consultation was undertaken under section 17 of the Legislative Instruments Act 2003 before this instrument was made as it is of a minor or machinery nature and does not substantially alter existing arrangements.</w:t>
      </w:r>
    </w:p>
    <w:p w:rsidR="001E0AC1" w:rsidRPr="00246FF8" w:rsidRDefault="001E0AC1" w:rsidP="001E0AC1">
      <w:pPr>
        <w:rPr>
          <w:noProof/>
          <w:szCs w:val="26"/>
        </w:rPr>
      </w:pPr>
      <w:r>
        <w:rPr>
          <w:noProof/>
          <w:szCs w:val="26"/>
        </w:rPr>
        <w:t>However,</w:t>
      </w:r>
      <w:r w:rsidRPr="00310C67">
        <w:rPr>
          <w:noProof/>
          <w:szCs w:val="26"/>
        </w:rPr>
        <w:t xml:space="preserve"> th</w:t>
      </w:r>
      <w:r>
        <w:rPr>
          <w:noProof/>
          <w:szCs w:val="26"/>
        </w:rPr>
        <w:t>e</w:t>
      </w:r>
      <w:r w:rsidRPr="00310C67">
        <w:rPr>
          <w:noProof/>
          <w:szCs w:val="26"/>
        </w:rPr>
        <w:t xml:space="preserve"> instrument appears to make very similar changes to those made by Customs Act 1901 - Amendment of Approved Statement Instrument No. 2 of 2013 - Amendment of "Self-Assessed Clearance Declaration (Air) (To be Communicated with a Cargo Report)" [F2013L00134], for which the </w:t>
      </w:r>
      <w:r>
        <w:rPr>
          <w:noProof/>
          <w:szCs w:val="26"/>
        </w:rPr>
        <w:t>ES identified consultation as having taken place with t</w:t>
      </w:r>
      <w:r w:rsidRPr="00310C67">
        <w:rPr>
          <w:noProof/>
          <w:szCs w:val="26"/>
        </w:rPr>
        <w:t xml:space="preserve">he Conference of Asia Pacific Air. </w:t>
      </w:r>
      <w:r>
        <w:rPr>
          <w:noProof/>
          <w:szCs w:val="26"/>
        </w:rPr>
        <w:t xml:space="preserve">Given the similarity between the instruments, the committee considers that is unclear as to why consultation was not considered necessary or appropriate in the case of the current instrument. </w:t>
      </w:r>
      <w:r w:rsidRPr="00134E6B">
        <w:rPr>
          <w:b/>
          <w:noProof/>
          <w:szCs w:val="26"/>
        </w:rPr>
        <w:t xml:space="preserve">The committee </w:t>
      </w:r>
      <w:r>
        <w:rPr>
          <w:b/>
          <w:noProof/>
          <w:szCs w:val="26"/>
        </w:rPr>
        <w:t xml:space="preserve">will therefore </w:t>
      </w:r>
      <w:r w:rsidRPr="00134E6B">
        <w:rPr>
          <w:b/>
          <w:noProof/>
          <w:szCs w:val="26"/>
        </w:rPr>
        <w:t>seek further information from the minister</w:t>
      </w:r>
      <w:r>
        <w:rPr>
          <w:noProof/>
          <w:szCs w:val="26"/>
        </w:rPr>
        <w:t>.</w:t>
      </w:r>
    </w:p>
    <w:p w:rsidR="001E0AC1" w:rsidRDefault="001E0AC1" w:rsidP="009F02ED">
      <w:pPr>
        <w:spacing w:after="0"/>
        <w:jc w:val="left"/>
        <w:rPr>
          <w:b/>
          <w:noProof/>
          <w:sz w:val="28"/>
        </w:rPr>
      </w:pPr>
      <w:r>
        <w:rPr>
          <w:noProof/>
        </w:rPr>
        <w:br w:type="page"/>
      </w:r>
    </w:p>
    <w:p w:rsidR="001E0AC1" w:rsidRPr="00B54538" w:rsidRDefault="001E0AC1" w:rsidP="009F02ED">
      <w:pPr>
        <w:pStyle w:val="Heading3"/>
        <w:spacing w:before="0"/>
      </w:pPr>
      <w:r w:rsidRPr="00310C67">
        <w:rPr>
          <w:noProof/>
        </w:rPr>
        <w:lastRenderedPageBreak/>
        <w:t>Amendment of List of Exempt Native Specimens - Pandanus spiralis (18/12/2012)</w:t>
      </w:r>
      <w:r>
        <w:rPr>
          <w:noProof/>
        </w:rPr>
        <w:t xml:space="preserve"> </w:t>
      </w:r>
      <w:r>
        <w:t>[F2013L00107]</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1E0AC1" w:rsidRPr="00B54538" w:rsidTr="001E0AC1">
        <w:tc>
          <w:tcPr>
            <w:tcW w:w="2552" w:type="dxa"/>
          </w:tcPr>
          <w:p w:rsidR="001E0AC1" w:rsidRPr="003B6490" w:rsidRDefault="001E0AC1" w:rsidP="001E0AC1">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Purpose</w:t>
            </w:r>
          </w:p>
        </w:tc>
        <w:tc>
          <w:tcPr>
            <w:tcW w:w="6520" w:type="dxa"/>
          </w:tcPr>
          <w:p w:rsidR="001E0AC1" w:rsidRPr="003B6490" w:rsidRDefault="001E0AC1" w:rsidP="001E0AC1">
            <w:pPr>
              <w:pStyle w:val="letterheadbody"/>
              <w:spacing w:line="264" w:lineRule="auto"/>
              <w:ind w:left="0"/>
              <w:rPr>
                <w:rFonts w:ascii="Times New Roman" w:hAnsi="Times New Roman"/>
                <w:sz w:val="24"/>
                <w:szCs w:val="24"/>
              </w:rPr>
            </w:pPr>
            <w:r w:rsidRPr="00310C67">
              <w:rPr>
                <w:rFonts w:ascii="Times New Roman" w:hAnsi="Times New Roman"/>
                <w:noProof/>
                <w:sz w:val="24"/>
                <w:szCs w:val="24"/>
              </w:rPr>
              <w:t xml:space="preserve">Amends the List of Exempt Native Specimens (29/11/2001) by adding </w:t>
            </w:r>
            <w:r w:rsidRPr="00246FF8">
              <w:rPr>
                <w:rFonts w:ascii="Times New Roman" w:hAnsi="Times New Roman"/>
                <w:i/>
                <w:noProof/>
                <w:sz w:val="24"/>
                <w:szCs w:val="24"/>
              </w:rPr>
              <w:t>Pandanus spiralis</w:t>
            </w:r>
            <w:r>
              <w:rPr>
                <w:rFonts w:ascii="Times New Roman" w:hAnsi="Times New Roman"/>
                <w:noProof/>
                <w:sz w:val="24"/>
                <w:szCs w:val="24"/>
              </w:rPr>
              <w:t xml:space="preserve"> to the list</w:t>
            </w:r>
          </w:p>
        </w:tc>
      </w:tr>
      <w:tr w:rsidR="001E0AC1" w:rsidRPr="00B54538" w:rsidTr="001E0AC1">
        <w:tc>
          <w:tcPr>
            <w:tcW w:w="2552" w:type="dxa"/>
          </w:tcPr>
          <w:p w:rsidR="001E0AC1" w:rsidRPr="003B6490" w:rsidRDefault="001E0AC1" w:rsidP="001E0AC1">
            <w:pPr>
              <w:pStyle w:val="letterheadbody"/>
              <w:spacing w:line="264" w:lineRule="auto"/>
              <w:ind w:left="0"/>
              <w:rPr>
                <w:rFonts w:ascii="Times New Roman" w:hAnsi="Times New Roman"/>
                <w:sz w:val="24"/>
                <w:szCs w:val="24"/>
              </w:rPr>
            </w:pPr>
            <w:r>
              <w:rPr>
                <w:rFonts w:ascii="Times New Roman" w:hAnsi="Times New Roman"/>
                <w:b/>
                <w:sz w:val="24"/>
                <w:szCs w:val="24"/>
              </w:rPr>
              <w:t>Last day to disallow</w:t>
            </w:r>
          </w:p>
        </w:tc>
        <w:tc>
          <w:tcPr>
            <w:tcW w:w="6520" w:type="dxa"/>
          </w:tcPr>
          <w:p w:rsidR="001E0AC1" w:rsidRPr="003B6490" w:rsidRDefault="001E0AC1" w:rsidP="001E0AC1">
            <w:pPr>
              <w:pStyle w:val="letterheadbody"/>
              <w:spacing w:line="264" w:lineRule="auto"/>
              <w:ind w:left="0"/>
              <w:rPr>
                <w:rFonts w:ascii="Times New Roman" w:hAnsi="Times New Roman"/>
                <w:sz w:val="24"/>
                <w:szCs w:val="24"/>
              </w:rPr>
            </w:pPr>
            <w:r>
              <w:rPr>
                <w:rFonts w:ascii="Times New Roman" w:hAnsi="Times New Roman"/>
                <w:sz w:val="24"/>
                <w:szCs w:val="24"/>
              </w:rPr>
              <w:t>15 May 2013</w:t>
            </w:r>
          </w:p>
        </w:tc>
      </w:tr>
      <w:tr w:rsidR="001E0AC1" w:rsidRPr="00B54538" w:rsidTr="001E0AC1">
        <w:tc>
          <w:tcPr>
            <w:tcW w:w="2552" w:type="dxa"/>
          </w:tcPr>
          <w:p w:rsidR="001E0AC1" w:rsidRPr="003B6490" w:rsidRDefault="001E0AC1" w:rsidP="001E0AC1">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Authorising legislation</w:t>
            </w:r>
          </w:p>
        </w:tc>
        <w:tc>
          <w:tcPr>
            <w:tcW w:w="6520" w:type="dxa"/>
          </w:tcPr>
          <w:p w:rsidR="001E0AC1" w:rsidRPr="00246FF8" w:rsidRDefault="001E0AC1" w:rsidP="001E0AC1">
            <w:pPr>
              <w:pStyle w:val="letterheadbody"/>
              <w:spacing w:line="264" w:lineRule="auto"/>
              <w:ind w:left="0"/>
              <w:rPr>
                <w:rFonts w:ascii="Times New Roman" w:hAnsi="Times New Roman"/>
                <w:i/>
                <w:sz w:val="24"/>
                <w:szCs w:val="24"/>
              </w:rPr>
            </w:pPr>
            <w:r w:rsidRPr="00246FF8">
              <w:rPr>
                <w:rFonts w:ascii="Times New Roman" w:hAnsi="Times New Roman"/>
                <w:i/>
                <w:noProof/>
                <w:sz w:val="24"/>
                <w:szCs w:val="24"/>
              </w:rPr>
              <w:t>Environment Protection and Biodiversity Conservation Act 1999</w:t>
            </w:r>
          </w:p>
        </w:tc>
      </w:tr>
      <w:tr w:rsidR="001E0AC1" w:rsidRPr="00B54538" w:rsidTr="001E0AC1">
        <w:tc>
          <w:tcPr>
            <w:tcW w:w="2552" w:type="dxa"/>
          </w:tcPr>
          <w:p w:rsidR="001E0AC1" w:rsidRPr="003B6490" w:rsidRDefault="001E0AC1" w:rsidP="001E0AC1">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Department</w:t>
            </w:r>
          </w:p>
        </w:tc>
        <w:tc>
          <w:tcPr>
            <w:tcW w:w="6520" w:type="dxa"/>
          </w:tcPr>
          <w:p w:rsidR="001E0AC1" w:rsidRPr="003B6490" w:rsidRDefault="001E0AC1" w:rsidP="001E0AC1">
            <w:pPr>
              <w:pStyle w:val="letterheadbody"/>
              <w:spacing w:line="264" w:lineRule="auto"/>
              <w:ind w:left="0"/>
              <w:rPr>
                <w:rFonts w:ascii="Times New Roman" w:hAnsi="Times New Roman"/>
                <w:sz w:val="24"/>
                <w:szCs w:val="24"/>
              </w:rPr>
            </w:pPr>
            <w:r w:rsidRPr="00310C67">
              <w:rPr>
                <w:rFonts w:ascii="Times New Roman" w:hAnsi="Times New Roman"/>
                <w:noProof/>
                <w:sz w:val="24"/>
                <w:szCs w:val="24"/>
              </w:rPr>
              <w:t>Sustainability, Environment, Water, Population and Communities</w:t>
            </w:r>
          </w:p>
        </w:tc>
      </w:tr>
    </w:tbl>
    <w:p w:rsidR="001E0AC1" w:rsidRPr="00B54538" w:rsidRDefault="001E0AC1" w:rsidP="001E0AC1">
      <w:pPr>
        <w:spacing w:after="0"/>
        <w:rPr>
          <w:szCs w:val="26"/>
        </w:rPr>
      </w:pPr>
    </w:p>
    <w:p w:rsidR="001E0AC1" w:rsidRDefault="001E0AC1" w:rsidP="001E0AC1">
      <w:pPr>
        <w:spacing w:after="0"/>
        <w:rPr>
          <w:b/>
          <w:szCs w:val="26"/>
        </w:rPr>
      </w:pPr>
      <w:r>
        <w:rPr>
          <w:b/>
          <w:szCs w:val="26"/>
        </w:rPr>
        <w:t>ISSUE:</w:t>
      </w:r>
    </w:p>
    <w:p w:rsidR="001E0AC1" w:rsidRPr="00B54538" w:rsidRDefault="001E0AC1" w:rsidP="001E0AC1">
      <w:pPr>
        <w:pStyle w:val="Heading4"/>
        <w:numPr>
          <w:ilvl w:val="3"/>
          <w:numId w:val="21"/>
        </w:numPr>
        <w:spacing w:before="120" w:after="120"/>
        <w:rPr>
          <w:noProof/>
        </w:rPr>
      </w:pPr>
      <w:r w:rsidRPr="00310C67">
        <w:rPr>
          <w:noProof/>
        </w:rPr>
        <w:t xml:space="preserve">Insufficient explanation provided </w:t>
      </w:r>
      <w:r>
        <w:rPr>
          <w:noProof/>
        </w:rPr>
        <w:t>regarding</w:t>
      </w:r>
      <w:r w:rsidRPr="00310C67">
        <w:rPr>
          <w:noProof/>
        </w:rPr>
        <w:t xml:space="preserve"> consultation</w:t>
      </w:r>
    </w:p>
    <w:p w:rsidR="001E0AC1" w:rsidRDefault="001E0AC1" w:rsidP="001E0AC1">
      <w:pPr>
        <w:pStyle w:val="Level1"/>
        <w:numPr>
          <w:ilvl w:val="0"/>
          <w:numId w:val="0"/>
        </w:numPr>
        <w:rPr>
          <w:noProof/>
          <w:szCs w:val="26"/>
        </w:rPr>
      </w:pPr>
      <w:r w:rsidRPr="00E2599D">
        <w:rPr>
          <w:noProof/>
        </w:rPr>
        <w:t xml:space="preserve">Section 17 of the </w:t>
      </w:r>
      <w:r w:rsidRPr="00E2599D">
        <w:rPr>
          <w:i/>
          <w:noProof/>
        </w:rPr>
        <w:t>Legislative Instruments Act 2003</w:t>
      </w:r>
      <w:r w:rsidRPr="00E2599D">
        <w:rPr>
          <w:noProof/>
        </w:rPr>
        <w:t xml:space="preserve"> 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ES which must accompany an instrument is required to describe the nature of any consultation that has been carried out or, if there has been no consultation, to explain w</w:t>
      </w:r>
      <w:r>
        <w:rPr>
          <w:noProof/>
        </w:rPr>
        <w:t>hy none was undertaken (section </w:t>
      </w:r>
      <w:r w:rsidRPr="00E2599D">
        <w:rPr>
          <w:noProof/>
        </w:rPr>
        <w:t>26).</w:t>
      </w:r>
      <w:r>
        <w:rPr>
          <w:noProof/>
        </w:rPr>
        <w:t xml:space="preserve"> </w:t>
      </w:r>
      <w:r w:rsidRPr="00E2599D">
        <w:rPr>
          <w:noProof/>
          <w:szCs w:val="26"/>
        </w:rPr>
        <w:t xml:space="preserve">With reference to these requirements, the committee notes that the ES </w:t>
      </w:r>
      <w:r>
        <w:rPr>
          <w:noProof/>
          <w:szCs w:val="26"/>
        </w:rPr>
        <w:t xml:space="preserve">for </w:t>
      </w:r>
      <w:r w:rsidRPr="00E2599D">
        <w:rPr>
          <w:noProof/>
          <w:szCs w:val="26"/>
        </w:rPr>
        <w:t xml:space="preserve">the instrument </w:t>
      </w:r>
      <w:r w:rsidRPr="00310C67">
        <w:rPr>
          <w:noProof/>
        </w:rPr>
        <w:t xml:space="preserve">provides </w:t>
      </w:r>
      <w:r>
        <w:rPr>
          <w:noProof/>
        </w:rPr>
        <w:t xml:space="preserve">a substantial description of nature of consultation undertaken into the making of the instrument. However, a reference to </w:t>
      </w:r>
      <w:r w:rsidRPr="00310C67">
        <w:rPr>
          <w:noProof/>
        </w:rPr>
        <w:t xml:space="preserve">the </w:t>
      </w:r>
      <w:r>
        <w:rPr>
          <w:noProof/>
        </w:rPr>
        <w:t>'</w:t>
      </w:r>
      <w:r w:rsidRPr="00310C67">
        <w:rPr>
          <w:noProof/>
          <w:szCs w:val="26"/>
        </w:rPr>
        <w:t>relevant state department</w:t>
      </w:r>
      <w:r>
        <w:rPr>
          <w:noProof/>
          <w:szCs w:val="26"/>
        </w:rPr>
        <w:t xml:space="preserve">' is unclear, as the committee is not able to determine which department is referred to on the face of the instrument and more generally. </w:t>
      </w:r>
      <w:r w:rsidRPr="00134E6B">
        <w:rPr>
          <w:b/>
          <w:noProof/>
          <w:szCs w:val="26"/>
        </w:rPr>
        <w:t xml:space="preserve">The committee </w:t>
      </w:r>
      <w:r>
        <w:rPr>
          <w:b/>
          <w:noProof/>
          <w:szCs w:val="26"/>
        </w:rPr>
        <w:t xml:space="preserve">will therefore </w:t>
      </w:r>
      <w:r w:rsidRPr="00134E6B">
        <w:rPr>
          <w:b/>
          <w:noProof/>
          <w:szCs w:val="26"/>
        </w:rPr>
        <w:t>seek further information from the minister</w:t>
      </w:r>
      <w:r>
        <w:rPr>
          <w:noProof/>
          <w:szCs w:val="26"/>
        </w:rPr>
        <w:t>.</w:t>
      </w:r>
    </w:p>
    <w:p w:rsidR="001E0AC1" w:rsidRPr="00B54538" w:rsidRDefault="001E0AC1" w:rsidP="009F02ED">
      <w:pPr>
        <w:pStyle w:val="Heading4"/>
        <w:numPr>
          <w:ilvl w:val="3"/>
          <w:numId w:val="21"/>
        </w:numPr>
        <w:spacing w:before="240" w:after="120"/>
      </w:pPr>
      <w:r w:rsidRPr="00CE3B1D">
        <w:rPr>
          <w:i w:val="0"/>
          <w:noProof/>
          <w:sz w:val="28"/>
          <w:szCs w:val="28"/>
        </w:rPr>
        <w:t xml:space="preserve">Amendment - List of Specimens Taken to be suitable for Live Import (03/01/2013) </w:t>
      </w:r>
      <w:r w:rsidRPr="00ED2458">
        <w:rPr>
          <w:i w:val="0"/>
        </w:rPr>
        <w:t>[F2013L00105</w:t>
      </w:r>
      <w:r>
        <w:rPr>
          <w:i w:val="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1E0AC1" w:rsidRPr="00B54538" w:rsidTr="001E0AC1">
        <w:tc>
          <w:tcPr>
            <w:tcW w:w="2552" w:type="dxa"/>
          </w:tcPr>
          <w:p w:rsidR="001E0AC1" w:rsidRPr="003B6490" w:rsidRDefault="001E0AC1" w:rsidP="001E0AC1">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Purpose</w:t>
            </w:r>
          </w:p>
        </w:tc>
        <w:tc>
          <w:tcPr>
            <w:tcW w:w="6520" w:type="dxa"/>
          </w:tcPr>
          <w:p w:rsidR="001E0AC1" w:rsidRPr="003B6490" w:rsidRDefault="001E0AC1" w:rsidP="001E0AC1">
            <w:pPr>
              <w:pStyle w:val="letterheadbody"/>
              <w:spacing w:line="264" w:lineRule="auto"/>
              <w:ind w:left="0"/>
              <w:rPr>
                <w:rFonts w:ascii="Times New Roman" w:hAnsi="Times New Roman"/>
                <w:sz w:val="24"/>
                <w:szCs w:val="24"/>
              </w:rPr>
            </w:pPr>
            <w:r w:rsidRPr="00310C67">
              <w:rPr>
                <w:rFonts w:ascii="Times New Roman" w:hAnsi="Times New Roman"/>
                <w:noProof/>
                <w:sz w:val="24"/>
                <w:szCs w:val="24"/>
              </w:rPr>
              <w:t>Amends the List of Specimens Taken to be Suitable for Live Import (29/11/2001) to update the scientific name for the sucker catfish</w:t>
            </w:r>
          </w:p>
        </w:tc>
      </w:tr>
      <w:tr w:rsidR="001E0AC1" w:rsidRPr="00B54538" w:rsidTr="001E0AC1">
        <w:tc>
          <w:tcPr>
            <w:tcW w:w="2552" w:type="dxa"/>
          </w:tcPr>
          <w:p w:rsidR="001E0AC1" w:rsidRPr="003B6490" w:rsidRDefault="001E0AC1" w:rsidP="001E0AC1">
            <w:pPr>
              <w:pStyle w:val="letterheadbody"/>
              <w:spacing w:line="264" w:lineRule="auto"/>
              <w:ind w:left="0"/>
              <w:rPr>
                <w:rFonts w:ascii="Times New Roman" w:hAnsi="Times New Roman"/>
                <w:sz w:val="24"/>
                <w:szCs w:val="24"/>
              </w:rPr>
            </w:pPr>
            <w:r>
              <w:rPr>
                <w:rFonts w:ascii="Times New Roman" w:hAnsi="Times New Roman"/>
                <w:b/>
                <w:sz w:val="24"/>
                <w:szCs w:val="24"/>
              </w:rPr>
              <w:t>Last day to disallow</w:t>
            </w:r>
          </w:p>
        </w:tc>
        <w:tc>
          <w:tcPr>
            <w:tcW w:w="6520" w:type="dxa"/>
          </w:tcPr>
          <w:p w:rsidR="001E0AC1" w:rsidRPr="003B6490" w:rsidRDefault="001E0AC1" w:rsidP="001E0AC1">
            <w:pPr>
              <w:pStyle w:val="letterheadbody"/>
              <w:spacing w:line="264" w:lineRule="auto"/>
              <w:ind w:left="0"/>
              <w:rPr>
                <w:rFonts w:ascii="Times New Roman" w:hAnsi="Times New Roman"/>
                <w:sz w:val="24"/>
                <w:szCs w:val="24"/>
              </w:rPr>
            </w:pPr>
            <w:r>
              <w:rPr>
                <w:rFonts w:ascii="Times New Roman" w:hAnsi="Times New Roman"/>
                <w:sz w:val="24"/>
                <w:szCs w:val="24"/>
              </w:rPr>
              <w:t>15 May 2013</w:t>
            </w:r>
          </w:p>
        </w:tc>
      </w:tr>
      <w:tr w:rsidR="001E0AC1" w:rsidRPr="00B54538" w:rsidTr="001E0AC1">
        <w:tc>
          <w:tcPr>
            <w:tcW w:w="2552" w:type="dxa"/>
          </w:tcPr>
          <w:p w:rsidR="001E0AC1" w:rsidRPr="003B6490" w:rsidRDefault="001E0AC1" w:rsidP="001E0AC1">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Authorising legislation</w:t>
            </w:r>
          </w:p>
        </w:tc>
        <w:tc>
          <w:tcPr>
            <w:tcW w:w="6520" w:type="dxa"/>
          </w:tcPr>
          <w:p w:rsidR="001E0AC1" w:rsidRPr="00246FF8" w:rsidRDefault="001E0AC1" w:rsidP="001E0AC1">
            <w:pPr>
              <w:pStyle w:val="letterheadbody"/>
              <w:spacing w:line="264" w:lineRule="auto"/>
              <w:ind w:left="0"/>
              <w:rPr>
                <w:rFonts w:ascii="Times New Roman" w:hAnsi="Times New Roman"/>
                <w:i/>
                <w:sz w:val="24"/>
                <w:szCs w:val="24"/>
              </w:rPr>
            </w:pPr>
            <w:r w:rsidRPr="00246FF8">
              <w:rPr>
                <w:rFonts w:ascii="Times New Roman" w:hAnsi="Times New Roman"/>
                <w:i/>
                <w:noProof/>
                <w:sz w:val="24"/>
                <w:szCs w:val="24"/>
              </w:rPr>
              <w:t>Environment Protection and Biodiversity Conservation Act 1999</w:t>
            </w:r>
          </w:p>
        </w:tc>
      </w:tr>
      <w:tr w:rsidR="001E0AC1" w:rsidRPr="00B54538" w:rsidTr="001E0AC1">
        <w:tc>
          <w:tcPr>
            <w:tcW w:w="2552" w:type="dxa"/>
          </w:tcPr>
          <w:p w:rsidR="001E0AC1" w:rsidRPr="003B6490" w:rsidRDefault="001E0AC1" w:rsidP="001E0AC1">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Department</w:t>
            </w:r>
          </w:p>
        </w:tc>
        <w:tc>
          <w:tcPr>
            <w:tcW w:w="6520" w:type="dxa"/>
          </w:tcPr>
          <w:p w:rsidR="001E0AC1" w:rsidRPr="003B6490" w:rsidRDefault="001E0AC1" w:rsidP="001E0AC1">
            <w:pPr>
              <w:pStyle w:val="letterheadbody"/>
              <w:spacing w:line="264" w:lineRule="auto"/>
              <w:ind w:left="0"/>
              <w:rPr>
                <w:rFonts w:ascii="Times New Roman" w:hAnsi="Times New Roman"/>
                <w:sz w:val="24"/>
                <w:szCs w:val="24"/>
              </w:rPr>
            </w:pPr>
            <w:r w:rsidRPr="00310C67">
              <w:rPr>
                <w:rFonts w:ascii="Times New Roman" w:hAnsi="Times New Roman"/>
                <w:noProof/>
                <w:sz w:val="24"/>
                <w:szCs w:val="24"/>
              </w:rPr>
              <w:t>Sustainability, Environment, Water, Population and Communities</w:t>
            </w:r>
          </w:p>
        </w:tc>
      </w:tr>
    </w:tbl>
    <w:p w:rsidR="001E0AC1" w:rsidRPr="00B54538" w:rsidRDefault="001E0AC1" w:rsidP="001E0AC1">
      <w:pPr>
        <w:spacing w:after="0"/>
        <w:rPr>
          <w:szCs w:val="26"/>
        </w:rPr>
      </w:pPr>
    </w:p>
    <w:p w:rsidR="001E0AC1" w:rsidRDefault="001E0AC1" w:rsidP="001E0AC1">
      <w:pPr>
        <w:spacing w:after="0"/>
        <w:rPr>
          <w:b/>
          <w:szCs w:val="26"/>
        </w:rPr>
      </w:pPr>
      <w:r>
        <w:rPr>
          <w:b/>
          <w:szCs w:val="26"/>
        </w:rPr>
        <w:t>ISSUE:</w:t>
      </w:r>
    </w:p>
    <w:p w:rsidR="001E0AC1" w:rsidRPr="00B54538" w:rsidRDefault="001E0AC1" w:rsidP="001E0AC1">
      <w:pPr>
        <w:pStyle w:val="Heading4"/>
        <w:numPr>
          <w:ilvl w:val="3"/>
          <w:numId w:val="21"/>
        </w:numPr>
        <w:spacing w:before="120" w:after="120"/>
        <w:rPr>
          <w:noProof/>
        </w:rPr>
      </w:pPr>
      <w:r w:rsidRPr="00310C67">
        <w:rPr>
          <w:noProof/>
        </w:rPr>
        <w:t xml:space="preserve">No information provided </w:t>
      </w:r>
      <w:r>
        <w:rPr>
          <w:noProof/>
        </w:rPr>
        <w:t xml:space="preserve">regarding </w:t>
      </w:r>
      <w:r w:rsidRPr="00310C67">
        <w:rPr>
          <w:noProof/>
        </w:rPr>
        <w:t>consultation</w:t>
      </w:r>
    </w:p>
    <w:p w:rsidR="001E0AC1" w:rsidRDefault="001E0AC1" w:rsidP="001E0AC1">
      <w:pPr>
        <w:rPr>
          <w:noProof/>
        </w:rPr>
      </w:pPr>
      <w:r w:rsidRPr="00AE3138">
        <w:rPr>
          <w:noProof/>
          <w:szCs w:val="26"/>
        </w:rPr>
        <w:t xml:space="preserve">Section 17 of the </w:t>
      </w:r>
      <w:r w:rsidRPr="00AE3138">
        <w:rPr>
          <w:i/>
          <w:noProof/>
          <w:szCs w:val="26"/>
        </w:rPr>
        <w:t>Legislative Instruments Act 2003</w:t>
      </w:r>
      <w:r>
        <w:rPr>
          <w:i/>
          <w:noProof/>
          <w:szCs w:val="26"/>
        </w:rPr>
        <w:t xml:space="preserve"> </w:t>
      </w:r>
      <w:r w:rsidRPr="00AE3138">
        <w:rPr>
          <w:noProof/>
          <w:szCs w:val="26"/>
        </w:rPr>
        <w:t xml:space="preserve">directs a rule-maker to be satisfied that appropriate consultation, as is reasonably practicable, has been undertaken in relation to a proposed instrument, particularly where that instrument is likely to have an effect on business. Section 18 of the Act, however, provides that in some circumstances such consultation may be unnecessary or inappropriate. The ES which must accompany an instrument is required to describe the nature of any consultation </w:t>
      </w:r>
      <w:r w:rsidRPr="00AE3138">
        <w:rPr>
          <w:noProof/>
          <w:szCs w:val="26"/>
        </w:rPr>
        <w:lastRenderedPageBreak/>
        <w:t>that has been carried out or, if there has been no consultation, to explain why none was undertaken (section 26).</w:t>
      </w:r>
      <w:r>
        <w:rPr>
          <w:noProof/>
          <w:szCs w:val="26"/>
        </w:rPr>
        <w:t xml:space="preserve"> </w:t>
      </w:r>
      <w:r w:rsidRPr="00AE3138">
        <w:rPr>
          <w:noProof/>
          <w:szCs w:val="26"/>
        </w:rPr>
        <w:t xml:space="preserve">With reference to these requirements, the committee notes that the ES accompanying the </w:t>
      </w:r>
      <w:r>
        <w:rPr>
          <w:noProof/>
          <w:szCs w:val="26"/>
        </w:rPr>
        <w:t xml:space="preserve">instrument contains no reference to consultation. </w:t>
      </w:r>
      <w:r w:rsidRPr="00940F8E">
        <w:rPr>
          <w:b/>
          <w:noProof/>
        </w:rPr>
        <w:t xml:space="preserve">The committee will </w:t>
      </w:r>
      <w:r>
        <w:rPr>
          <w:b/>
          <w:noProof/>
        </w:rPr>
        <w:t xml:space="preserve">therefore </w:t>
      </w:r>
      <w:r w:rsidRPr="00940F8E">
        <w:rPr>
          <w:b/>
          <w:noProof/>
        </w:rPr>
        <w:t xml:space="preserve">seek </w:t>
      </w:r>
      <w:r>
        <w:rPr>
          <w:b/>
          <w:noProof/>
        </w:rPr>
        <w:t>further information</w:t>
      </w:r>
      <w:r w:rsidRPr="00940F8E">
        <w:rPr>
          <w:b/>
          <w:noProof/>
        </w:rPr>
        <w:t xml:space="preserve"> from the minister and request that the ES be updated in accordance with the requirements of the </w:t>
      </w:r>
      <w:r w:rsidRPr="00E2599D">
        <w:rPr>
          <w:b/>
          <w:i/>
          <w:noProof/>
        </w:rPr>
        <w:t>Legislative Instruments Act 2003</w:t>
      </w:r>
      <w:r>
        <w:rPr>
          <w:noProof/>
        </w:rPr>
        <w:t>.</w:t>
      </w:r>
    </w:p>
    <w:p w:rsidR="001E0AC1" w:rsidRPr="00B54538" w:rsidRDefault="001E0AC1" w:rsidP="00EC5913">
      <w:pPr>
        <w:pStyle w:val="Heading3"/>
        <w:spacing w:before="360"/>
      </w:pPr>
      <w:r w:rsidRPr="00310C67">
        <w:rPr>
          <w:noProof/>
        </w:rPr>
        <w:t xml:space="preserve">Levy Amount Formula Modification Determination 2013 </w:t>
      </w:r>
      <w:r>
        <w:rPr>
          <w:noProof/>
        </w:rPr>
        <w:t>[</w:t>
      </w:r>
      <w:r w:rsidRPr="00310C67">
        <w:rPr>
          <w:noProof/>
        </w:rPr>
        <w:t>F2013L00158</w:t>
      </w:r>
      <w:r>
        <w:rPr>
          <w:noProof/>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1E0AC1" w:rsidRPr="00B54538" w:rsidTr="001E0AC1">
        <w:tc>
          <w:tcPr>
            <w:tcW w:w="2552" w:type="dxa"/>
          </w:tcPr>
          <w:p w:rsidR="001E0AC1" w:rsidRPr="003B6490" w:rsidRDefault="001E0AC1" w:rsidP="001E0AC1">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Purpose</w:t>
            </w:r>
          </w:p>
        </w:tc>
        <w:tc>
          <w:tcPr>
            <w:tcW w:w="6520" w:type="dxa"/>
          </w:tcPr>
          <w:p w:rsidR="001E0AC1" w:rsidRPr="003B6490" w:rsidRDefault="001E0AC1" w:rsidP="001E0AC1">
            <w:pPr>
              <w:pStyle w:val="letterheadbody"/>
              <w:spacing w:line="264" w:lineRule="auto"/>
              <w:ind w:left="0"/>
              <w:rPr>
                <w:rFonts w:ascii="Times New Roman" w:hAnsi="Times New Roman"/>
                <w:sz w:val="24"/>
                <w:szCs w:val="24"/>
              </w:rPr>
            </w:pPr>
            <w:r w:rsidRPr="00310C67">
              <w:rPr>
                <w:rFonts w:ascii="Times New Roman" w:hAnsi="Times New Roman"/>
                <w:noProof/>
                <w:sz w:val="24"/>
                <w:szCs w:val="24"/>
              </w:rPr>
              <w:t>Modifies the formula by which a levy amount is calculated for a participating persons in the first or second eligible revenue period to provide for the calculations to be adjusted in the event that a participating person goes into receivership, liquidation, general administration or ceases to exist.</w:t>
            </w:r>
          </w:p>
        </w:tc>
      </w:tr>
      <w:tr w:rsidR="001E0AC1" w:rsidRPr="00B54538" w:rsidTr="001E0AC1">
        <w:tc>
          <w:tcPr>
            <w:tcW w:w="2552" w:type="dxa"/>
          </w:tcPr>
          <w:p w:rsidR="001E0AC1" w:rsidRPr="003B6490" w:rsidRDefault="001E0AC1" w:rsidP="001E0AC1">
            <w:pPr>
              <w:pStyle w:val="letterheadbody"/>
              <w:spacing w:line="264" w:lineRule="auto"/>
              <w:ind w:left="0"/>
              <w:rPr>
                <w:rFonts w:ascii="Times New Roman" w:hAnsi="Times New Roman"/>
                <w:sz w:val="24"/>
                <w:szCs w:val="24"/>
              </w:rPr>
            </w:pPr>
            <w:r>
              <w:rPr>
                <w:rFonts w:ascii="Times New Roman" w:hAnsi="Times New Roman"/>
                <w:b/>
                <w:sz w:val="24"/>
                <w:szCs w:val="24"/>
              </w:rPr>
              <w:t>Last day to disallow</w:t>
            </w:r>
          </w:p>
        </w:tc>
        <w:tc>
          <w:tcPr>
            <w:tcW w:w="6520" w:type="dxa"/>
          </w:tcPr>
          <w:p w:rsidR="001E0AC1" w:rsidRPr="003B6490" w:rsidRDefault="001E0AC1" w:rsidP="001E0AC1">
            <w:pPr>
              <w:pStyle w:val="letterheadbody"/>
              <w:spacing w:line="264" w:lineRule="auto"/>
              <w:ind w:left="0"/>
              <w:rPr>
                <w:rFonts w:ascii="Times New Roman" w:hAnsi="Times New Roman"/>
                <w:sz w:val="24"/>
                <w:szCs w:val="24"/>
              </w:rPr>
            </w:pPr>
            <w:r>
              <w:rPr>
                <w:rFonts w:ascii="Times New Roman" w:hAnsi="Times New Roman"/>
                <w:sz w:val="24"/>
                <w:szCs w:val="24"/>
              </w:rPr>
              <w:t>17 June 2013</w:t>
            </w:r>
          </w:p>
        </w:tc>
      </w:tr>
      <w:tr w:rsidR="001E0AC1" w:rsidRPr="00B54538" w:rsidTr="001E0AC1">
        <w:tc>
          <w:tcPr>
            <w:tcW w:w="2552" w:type="dxa"/>
          </w:tcPr>
          <w:p w:rsidR="001E0AC1" w:rsidRPr="003B6490" w:rsidRDefault="001E0AC1" w:rsidP="001E0AC1">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Authorising legislation</w:t>
            </w:r>
          </w:p>
        </w:tc>
        <w:tc>
          <w:tcPr>
            <w:tcW w:w="6520" w:type="dxa"/>
          </w:tcPr>
          <w:p w:rsidR="001E0AC1" w:rsidRPr="00ED2458" w:rsidRDefault="001E0AC1" w:rsidP="001E0AC1">
            <w:pPr>
              <w:pStyle w:val="letterheadbody"/>
              <w:spacing w:line="264" w:lineRule="auto"/>
              <w:ind w:left="0"/>
              <w:rPr>
                <w:rFonts w:ascii="Times New Roman" w:hAnsi="Times New Roman"/>
                <w:i/>
                <w:sz w:val="24"/>
                <w:szCs w:val="24"/>
              </w:rPr>
            </w:pPr>
            <w:r w:rsidRPr="00ED2458">
              <w:rPr>
                <w:rFonts w:ascii="Times New Roman" w:hAnsi="Times New Roman"/>
                <w:i/>
                <w:noProof/>
                <w:sz w:val="24"/>
                <w:szCs w:val="24"/>
              </w:rPr>
              <w:t>Telecommunications Universal Service Management Agency Act 2012</w:t>
            </w:r>
          </w:p>
        </w:tc>
      </w:tr>
      <w:tr w:rsidR="001E0AC1" w:rsidRPr="00B54538" w:rsidTr="001E0AC1">
        <w:tc>
          <w:tcPr>
            <w:tcW w:w="2552" w:type="dxa"/>
          </w:tcPr>
          <w:p w:rsidR="001E0AC1" w:rsidRPr="003B6490" w:rsidRDefault="001E0AC1" w:rsidP="001E0AC1">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Department</w:t>
            </w:r>
          </w:p>
        </w:tc>
        <w:tc>
          <w:tcPr>
            <w:tcW w:w="6520" w:type="dxa"/>
          </w:tcPr>
          <w:p w:rsidR="001E0AC1" w:rsidRPr="003B6490" w:rsidRDefault="001E0AC1" w:rsidP="001E0AC1">
            <w:pPr>
              <w:pStyle w:val="letterheadbody"/>
              <w:spacing w:line="264" w:lineRule="auto"/>
              <w:ind w:left="0"/>
              <w:rPr>
                <w:rFonts w:ascii="Times New Roman" w:hAnsi="Times New Roman"/>
                <w:sz w:val="24"/>
                <w:szCs w:val="24"/>
              </w:rPr>
            </w:pPr>
            <w:r w:rsidRPr="00310C67">
              <w:rPr>
                <w:rFonts w:ascii="Times New Roman" w:hAnsi="Times New Roman"/>
                <w:noProof/>
                <w:sz w:val="24"/>
                <w:szCs w:val="24"/>
              </w:rPr>
              <w:t>Broadband, Communications and the Digital Economy</w:t>
            </w:r>
          </w:p>
        </w:tc>
      </w:tr>
    </w:tbl>
    <w:p w:rsidR="001E0AC1" w:rsidRPr="00B54538" w:rsidRDefault="001E0AC1" w:rsidP="001E0AC1">
      <w:pPr>
        <w:spacing w:after="0"/>
        <w:rPr>
          <w:szCs w:val="26"/>
        </w:rPr>
      </w:pPr>
    </w:p>
    <w:p w:rsidR="001E0AC1" w:rsidRDefault="001E0AC1" w:rsidP="001E0AC1">
      <w:pPr>
        <w:spacing w:after="0"/>
        <w:rPr>
          <w:b/>
          <w:szCs w:val="26"/>
        </w:rPr>
      </w:pPr>
      <w:r>
        <w:rPr>
          <w:b/>
          <w:szCs w:val="26"/>
        </w:rPr>
        <w:t>ISSUE:</w:t>
      </w:r>
    </w:p>
    <w:p w:rsidR="001E0AC1" w:rsidRPr="00B54538" w:rsidRDefault="001E0AC1" w:rsidP="001E0AC1">
      <w:pPr>
        <w:pStyle w:val="Heading4"/>
        <w:numPr>
          <w:ilvl w:val="3"/>
          <w:numId w:val="21"/>
        </w:numPr>
        <w:spacing w:before="120" w:after="120"/>
        <w:rPr>
          <w:noProof/>
        </w:rPr>
      </w:pPr>
      <w:r>
        <w:rPr>
          <w:noProof/>
        </w:rPr>
        <w:t xml:space="preserve">Whether </w:t>
      </w:r>
      <w:r w:rsidRPr="00310C67">
        <w:rPr>
          <w:noProof/>
        </w:rPr>
        <w:t xml:space="preserve">instrument </w:t>
      </w:r>
      <w:r>
        <w:rPr>
          <w:noProof/>
        </w:rPr>
        <w:t xml:space="preserve">is </w:t>
      </w:r>
      <w:r w:rsidRPr="00310C67">
        <w:rPr>
          <w:noProof/>
        </w:rPr>
        <w:t>validly</w:t>
      </w:r>
      <w:r>
        <w:rPr>
          <w:noProof/>
        </w:rPr>
        <w:t xml:space="preserve"> made</w:t>
      </w:r>
    </w:p>
    <w:p w:rsidR="001E0AC1" w:rsidRDefault="001E0AC1" w:rsidP="001E0AC1">
      <w:pPr>
        <w:rPr>
          <w:noProof/>
        </w:rPr>
      </w:pPr>
      <w:r>
        <w:rPr>
          <w:noProof/>
          <w:szCs w:val="26"/>
        </w:rPr>
        <w:t>S</w:t>
      </w:r>
      <w:r w:rsidRPr="00ED2458">
        <w:rPr>
          <w:noProof/>
          <w:szCs w:val="26"/>
        </w:rPr>
        <w:t xml:space="preserve">ection 99 of the </w:t>
      </w:r>
      <w:r w:rsidRPr="00ED2458">
        <w:rPr>
          <w:i/>
          <w:noProof/>
          <w:szCs w:val="26"/>
        </w:rPr>
        <w:t xml:space="preserve">Telecommunications Universal Service Management Agency Act 2012 </w:t>
      </w:r>
      <w:r w:rsidRPr="00ED2458">
        <w:rPr>
          <w:noProof/>
          <w:szCs w:val="26"/>
        </w:rPr>
        <w:t>sets out a number of formulas for the setting of a levy amount applicable to a participating person</w:t>
      </w:r>
      <w:r>
        <w:rPr>
          <w:noProof/>
          <w:szCs w:val="26"/>
        </w:rPr>
        <w:t xml:space="preserve"> for an eligible revenue period,</w:t>
      </w:r>
      <w:r w:rsidRPr="00ED2458">
        <w:rPr>
          <w:noProof/>
          <w:szCs w:val="26"/>
        </w:rPr>
        <w:t xml:space="preserve"> and </w:t>
      </w:r>
      <w:r>
        <w:rPr>
          <w:noProof/>
          <w:szCs w:val="26"/>
        </w:rPr>
        <w:t xml:space="preserve">the </w:t>
      </w:r>
      <w:r w:rsidRPr="00ED2458">
        <w:rPr>
          <w:noProof/>
          <w:szCs w:val="26"/>
        </w:rPr>
        <w:t>instrument is made under subsection 99(8), which provides that the minister may, by legislative instrument, 'modify' the formula in subsection 99(3).</w:t>
      </w:r>
      <w:r>
        <w:rPr>
          <w:noProof/>
          <w:szCs w:val="26"/>
        </w:rPr>
        <w:t xml:space="preserve"> </w:t>
      </w:r>
      <w:r w:rsidRPr="00ED2458">
        <w:rPr>
          <w:noProof/>
          <w:szCs w:val="26"/>
        </w:rPr>
        <w:t xml:space="preserve">However, noting that the effect of this instrument is to wholly replace subsection 99(3) with four new subsections, the committee </w:t>
      </w:r>
      <w:r>
        <w:rPr>
          <w:noProof/>
          <w:szCs w:val="26"/>
        </w:rPr>
        <w:t xml:space="preserve">is unsure </w:t>
      </w:r>
      <w:r w:rsidRPr="00ED2458">
        <w:rPr>
          <w:noProof/>
          <w:szCs w:val="26"/>
        </w:rPr>
        <w:t>as to whether, on a strict interpretation, the power to 'modify the formula in subsection 99(3)' provides sufficient authority to wholly replace subsection</w:t>
      </w:r>
      <w:r>
        <w:rPr>
          <w:noProof/>
          <w:szCs w:val="26"/>
        </w:rPr>
        <w:t> </w:t>
      </w:r>
      <w:r w:rsidRPr="00ED2458">
        <w:rPr>
          <w:noProof/>
          <w:szCs w:val="26"/>
        </w:rPr>
        <w:t>99(3)</w:t>
      </w:r>
      <w:r>
        <w:rPr>
          <w:noProof/>
          <w:szCs w:val="26"/>
        </w:rPr>
        <w:t>,</w:t>
      </w:r>
      <w:r w:rsidRPr="00ED2458">
        <w:rPr>
          <w:noProof/>
          <w:szCs w:val="26"/>
        </w:rPr>
        <w:t xml:space="preserve"> as this instrument does or purports to do.</w:t>
      </w:r>
      <w:r>
        <w:rPr>
          <w:noProof/>
          <w:szCs w:val="26"/>
        </w:rPr>
        <w:t xml:space="preserve"> </w:t>
      </w:r>
      <w:r w:rsidRPr="00940F8E">
        <w:rPr>
          <w:b/>
          <w:noProof/>
        </w:rPr>
        <w:t xml:space="preserve">The committee will </w:t>
      </w:r>
      <w:r>
        <w:rPr>
          <w:b/>
          <w:noProof/>
        </w:rPr>
        <w:t xml:space="preserve">therefore </w:t>
      </w:r>
      <w:r w:rsidRPr="00940F8E">
        <w:rPr>
          <w:b/>
          <w:noProof/>
        </w:rPr>
        <w:t xml:space="preserve">seek </w:t>
      </w:r>
      <w:r>
        <w:rPr>
          <w:b/>
          <w:noProof/>
        </w:rPr>
        <w:t>further information</w:t>
      </w:r>
      <w:r w:rsidRPr="00940F8E">
        <w:rPr>
          <w:b/>
          <w:noProof/>
        </w:rPr>
        <w:t xml:space="preserve"> from the minister</w:t>
      </w:r>
      <w:r>
        <w:rPr>
          <w:noProof/>
        </w:rPr>
        <w:t>.</w:t>
      </w:r>
    </w:p>
    <w:p w:rsidR="001E0AC1" w:rsidRDefault="001E0AC1" w:rsidP="001E0AC1">
      <w:pPr>
        <w:spacing w:after="0"/>
        <w:jc w:val="left"/>
        <w:rPr>
          <w:b/>
          <w:noProof/>
          <w:sz w:val="28"/>
        </w:rPr>
      </w:pPr>
      <w:r>
        <w:rPr>
          <w:noProof/>
        </w:rPr>
        <w:br w:type="page"/>
      </w:r>
    </w:p>
    <w:p w:rsidR="001E0AC1" w:rsidRPr="00B54538" w:rsidRDefault="001E0AC1" w:rsidP="00EC5913">
      <w:pPr>
        <w:pStyle w:val="Heading3"/>
      </w:pPr>
      <w:r w:rsidRPr="00310C67">
        <w:rPr>
          <w:noProof/>
        </w:rPr>
        <w:lastRenderedPageBreak/>
        <w:t xml:space="preserve">Therapeutic Goods Information (Stakeholder Consultation on the System for Australian Recall Actions) Specification 2013 </w:t>
      </w:r>
      <w:r w:rsidRPr="00A04924">
        <w:t>[F2013L00117]</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1E0AC1" w:rsidRPr="00B54538" w:rsidTr="001E0AC1">
        <w:tc>
          <w:tcPr>
            <w:tcW w:w="2552" w:type="dxa"/>
          </w:tcPr>
          <w:p w:rsidR="001E0AC1" w:rsidRPr="003B6490" w:rsidRDefault="001E0AC1" w:rsidP="001E0AC1">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Purpose</w:t>
            </w:r>
          </w:p>
        </w:tc>
        <w:tc>
          <w:tcPr>
            <w:tcW w:w="6520" w:type="dxa"/>
          </w:tcPr>
          <w:p w:rsidR="001E0AC1" w:rsidRPr="003B6490" w:rsidRDefault="001E0AC1" w:rsidP="001E0AC1">
            <w:pPr>
              <w:pStyle w:val="letterheadbody"/>
              <w:spacing w:line="264" w:lineRule="auto"/>
              <w:ind w:left="0"/>
              <w:rPr>
                <w:rFonts w:ascii="Times New Roman" w:hAnsi="Times New Roman"/>
                <w:sz w:val="24"/>
                <w:szCs w:val="24"/>
              </w:rPr>
            </w:pPr>
            <w:r>
              <w:rPr>
                <w:rFonts w:ascii="Times New Roman" w:hAnsi="Times New Roman"/>
                <w:noProof/>
                <w:sz w:val="24"/>
                <w:szCs w:val="24"/>
              </w:rPr>
              <w:t>Permits the s</w:t>
            </w:r>
            <w:r w:rsidRPr="00310C67">
              <w:rPr>
                <w:rFonts w:ascii="Times New Roman" w:hAnsi="Times New Roman"/>
                <w:noProof/>
                <w:sz w:val="24"/>
                <w:szCs w:val="24"/>
              </w:rPr>
              <w:t xml:space="preserve">ecretary to release </w:t>
            </w:r>
            <w:r>
              <w:rPr>
                <w:rFonts w:ascii="Times New Roman" w:hAnsi="Times New Roman"/>
                <w:noProof/>
                <w:sz w:val="24"/>
                <w:szCs w:val="24"/>
              </w:rPr>
              <w:t xml:space="preserve">certain </w:t>
            </w:r>
            <w:r w:rsidRPr="00310C67">
              <w:rPr>
                <w:rFonts w:ascii="Times New Roman" w:hAnsi="Times New Roman"/>
                <w:noProof/>
                <w:sz w:val="24"/>
                <w:szCs w:val="24"/>
              </w:rPr>
              <w:t>therapeutic goods information to the persons and bodies mentioned in t</w:t>
            </w:r>
            <w:r>
              <w:rPr>
                <w:rFonts w:ascii="Times New Roman" w:hAnsi="Times New Roman"/>
                <w:noProof/>
                <w:sz w:val="24"/>
                <w:szCs w:val="24"/>
              </w:rPr>
              <w:t>he specification, for specified</w:t>
            </w:r>
            <w:r w:rsidRPr="00310C67">
              <w:rPr>
                <w:rFonts w:ascii="Times New Roman" w:hAnsi="Times New Roman"/>
                <w:noProof/>
                <w:sz w:val="24"/>
                <w:szCs w:val="24"/>
              </w:rPr>
              <w:t xml:space="preserve"> purposes</w:t>
            </w:r>
          </w:p>
        </w:tc>
      </w:tr>
      <w:tr w:rsidR="001E0AC1" w:rsidRPr="00B54538" w:rsidTr="001E0AC1">
        <w:tc>
          <w:tcPr>
            <w:tcW w:w="2552" w:type="dxa"/>
          </w:tcPr>
          <w:p w:rsidR="001E0AC1" w:rsidRPr="003B6490" w:rsidRDefault="001E0AC1" w:rsidP="001E0AC1">
            <w:pPr>
              <w:pStyle w:val="letterheadbody"/>
              <w:spacing w:line="264" w:lineRule="auto"/>
              <w:ind w:left="0"/>
              <w:rPr>
                <w:rFonts w:ascii="Times New Roman" w:hAnsi="Times New Roman"/>
                <w:sz w:val="24"/>
                <w:szCs w:val="24"/>
              </w:rPr>
            </w:pPr>
            <w:r>
              <w:rPr>
                <w:rFonts w:ascii="Times New Roman" w:hAnsi="Times New Roman"/>
                <w:b/>
                <w:sz w:val="24"/>
                <w:szCs w:val="24"/>
              </w:rPr>
              <w:t>Last day to disallow</w:t>
            </w:r>
          </w:p>
        </w:tc>
        <w:tc>
          <w:tcPr>
            <w:tcW w:w="6520" w:type="dxa"/>
          </w:tcPr>
          <w:p w:rsidR="001E0AC1" w:rsidRPr="003B6490" w:rsidRDefault="001E0AC1" w:rsidP="001E0AC1">
            <w:pPr>
              <w:pStyle w:val="letterheadbody"/>
              <w:spacing w:line="264" w:lineRule="auto"/>
              <w:ind w:left="0"/>
              <w:rPr>
                <w:rFonts w:ascii="Times New Roman" w:hAnsi="Times New Roman"/>
                <w:sz w:val="24"/>
                <w:szCs w:val="24"/>
              </w:rPr>
            </w:pPr>
            <w:r>
              <w:rPr>
                <w:rFonts w:ascii="Times New Roman" w:hAnsi="Times New Roman"/>
                <w:sz w:val="24"/>
                <w:szCs w:val="24"/>
              </w:rPr>
              <w:t>15 May 2013</w:t>
            </w:r>
          </w:p>
        </w:tc>
      </w:tr>
      <w:tr w:rsidR="001E0AC1" w:rsidRPr="00B54538" w:rsidTr="001E0AC1">
        <w:tc>
          <w:tcPr>
            <w:tcW w:w="2552" w:type="dxa"/>
          </w:tcPr>
          <w:p w:rsidR="001E0AC1" w:rsidRPr="003B6490" w:rsidRDefault="001E0AC1" w:rsidP="001E0AC1">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Authorising legislation</w:t>
            </w:r>
          </w:p>
        </w:tc>
        <w:tc>
          <w:tcPr>
            <w:tcW w:w="6520" w:type="dxa"/>
          </w:tcPr>
          <w:p w:rsidR="001E0AC1" w:rsidRPr="006C55BA" w:rsidRDefault="001E0AC1" w:rsidP="001E0AC1">
            <w:pPr>
              <w:pStyle w:val="letterheadbody"/>
              <w:spacing w:line="264" w:lineRule="auto"/>
              <w:ind w:left="0"/>
              <w:rPr>
                <w:rFonts w:ascii="Times New Roman" w:hAnsi="Times New Roman"/>
                <w:i/>
                <w:sz w:val="24"/>
                <w:szCs w:val="24"/>
              </w:rPr>
            </w:pPr>
            <w:r w:rsidRPr="006C55BA">
              <w:rPr>
                <w:rFonts w:ascii="Times New Roman" w:hAnsi="Times New Roman"/>
                <w:i/>
                <w:noProof/>
                <w:sz w:val="24"/>
                <w:szCs w:val="24"/>
              </w:rPr>
              <w:t>Therapeutic Goods Act 1989</w:t>
            </w:r>
          </w:p>
        </w:tc>
      </w:tr>
      <w:tr w:rsidR="001E0AC1" w:rsidRPr="00B54538" w:rsidTr="001E0AC1">
        <w:tc>
          <w:tcPr>
            <w:tcW w:w="2552" w:type="dxa"/>
          </w:tcPr>
          <w:p w:rsidR="001E0AC1" w:rsidRPr="003B6490" w:rsidRDefault="001E0AC1" w:rsidP="001E0AC1">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Department</w:t>
            </w:r>
          </w:p>
        </w:tc>
        <w:tc>
          <w:tcPr>
            <w:tcW w:w="6520" w:type="dxa"/>
          </w:tcPr>
          <w:p w:rsidR="001E0AC1" w:rsidRPr="003B6490" w:rsidRDefault="001E0AC1" w:rsidP="001E0AC1">
            <w:pPr>
              <w:pStyle w:val="letterheadbody"/>
              <w:spacing w:line="264" w:lineRule="auto"/>
              <w:ind w:left="0"/>
              <w:rPr>
                <w:rFonts w:ascii="Times New Roman" w:hAnsi="Times New Roman"/>
                <w:sz w:val="24"/>
                <w:szCs w:val="24"/>
              </w:rPr>
            </w:pPr>
            <w:r w:rsidRPr="00310C67">
              <w:rPr>
                <w:rFonts w:ascii="Times New Roman" w:hAnsi="Times New Roman"/>
                <w:noProof/>
                <w:sz w:val="24"/>
                <w:szCs w:val="24"/>
              </w:rPr>
              <w:t>Health and Ageing</w:t>
            </w:r>
          </w:p>
        </w:tc>
      </w:tr>
    </w:tbl>
    <w:p w:rsidR="001E0AC1" w:rsidRPr="00B54538" w:rsidRDefault="001E0AC1" w:rsidP="001E0AC1">
      <w:pPr>
        <w:spacing w:after="0"/>
        <w:rPr>
          <w:szCs w:val="26"/>
        </w:rPr>
      </w:pPr>
    </w:p>
    <w:p w:rsidR="001E0AC1" w:rsidRDefault="001E0AC1" w:rsidP="001E0AC1">
      <w:pPr>
        <w:spacing w:after="0"/>
        <w:rPr>
          <w:b/>
          <w:szCs w:val="26"/>
        </w:rPr>
      </w:pPr>
      <w:r>
        <w:rPr>
          <w:b/>
          <w:szCs w:val="26"/>
        </w:rPr>
        <w:t>ISSUE:</w:t>
      </w:r>
    </w:p>
    <w:p w:rsidR="001E0AC1" w:rsidRPr="00B54538" w:rsidRDefault="001E0AC1" w:rsidP="001E0AC1">
      <w:pPr>
        <w:pStyle w:val="Heading4"/>
        <w:numPr>
          <w:ilvl w:val="3"/>
          <w:numId w:val="21"/>
        </w:numPr>
        <w:spacing w:before="120" w:after="120"/>
        <w:rPr>
          <w:noProof/>
        </w:rPr>
      </w:pPr>
      <w:r w:rsidRPr="00310C67">
        <w:rPr>
          <w:noProof/>
        </w:rPr>
        <w:t xml:space="preserve">Insufficient explanation provided </w:t>
      </w:r>
      <w:r>
        <w:rPr>
          <w:noProof/>
        </w:rPr>
        <w:t xml:space="preserve">regarding </w:t>
      </w:r>
      <w:r w:rsidRPr="00310C67">
        <w:rPr>
          <w:noProof/>
        </w:rPr>
        <w:t>consultation</w:t>
      </w:r>
    </w:p>
    <w:p w:rsidR="001E0AC1" w:rsidRPr="00310C67" w:rsidRDefault="001E0AC1" w:rsidP="001E0AC1">
      <w:pPr>
        <w:rPr>
          <w:noProof/>
          <w:szCs w:val="26"/>
        </w:rPr>
      </w:pPr>
      <w:r w:rsidRPr="00E2599D">
        <w:rPr>
          <w:noProof/>
        </w:rPr>
        <w:t xml:space="preserve">Section 17 of the </w:t>
      </w:r>
      <w:r w:rsidRPr="00E2599D">
        <w:rPr>
          <w:i/>
          <w:noProof/>
        </w:rPr>
        <w:t>Legislative Instruments Act 2003</w:t>
      </w:r>
      <w:r w:rsidRPr="00E2599D">
        <w:rPr>
          <w:noProof/>
        </w:rPr>
        <w:t xml:space="preserve"> 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ES which must accompany an instrument is required to describe the nature of any consultation that has been carried out or, if there has been no consultation, to explain w</w:t>
      </w:r>
      <w:r>
        <w:rPr>
          <w:noProof/>
        </w:rPr>
        <w:t>hy none was undertaken (section </w:t>
      </w:r>
      <w:r w:rsidRPr="00E2599D">
        <w:rPr>
          <w:noProof/>
        </w:rPr>
        <w:t>26).</w:t>
      </w:r>
      <w:r>
        <w:rPr>
          <w:noProof/>
        </w:rPr>
        <w:t xml:space="preserve"> </w:t>
      </w:r>
      <w:r w:rsidRPr="00E2599D">
        <w:rPr>
          <w:noProof/>
          <w:szCs w:val="26"/>
        </w:rPr>
        <w:t xml:space="preserve">With reference to these requirements, the committee notes that the ES </w:t>
      </w:r>
      <w:r>
        <w:rPr>
          <w:noProof/>
          <w:szCs w:val="26"/>
        </w:rPr>
        <w:t xml:space="preserve">for </w:t>
      </w:r>
      <w:r w:rsidRPr="00E2599D">
        <w:rPr>
          <w:noProof/>
          <w:szCs w:val="26"/>
        </w:rPr>
        <w:t>the instrument state</w:t>
      </w:r>
      <w:r>
        <w:rPr>
          <w:noProof/>
          <w:szCs w:val="26"/>
        </w:rPr>
        <w:t>s:</w:t>
      </w:r>
    </w:p>
    <w:p w:rsidR="001E0AC1" w:rsidRPr="00310C67" w:rsidRDefault="001E0AC1" w:rsidP="001E0AC1">
      <w:pPr>
        <w:pStyle w:val="Quote"/>
        <w:rPr>
          <w:noProof/>
        </w:rPr>
      </w:pPr>
      <w:r w:rsidRPr="00310C67">
        <w:rPr>
          <w:noProof/>
        </w:rPr>
        <w:t>The release of therapeutic goods information in relation to recall actions for the purpose of testing a prototype of the SARA database is the proposed mechanism for consulting stakeholders on the database. It is considered to be minor and machinery in nature.</w:t>
      </w:r>
    </w:p>
    <w:p w:rsidR="001E0AC1" w:rsidRPr="00310C67" w:rsidRDefault="001E0AC1" w:rsidP="001E0AC1">
      <w:pPr>
        <w:rPr>
          <w:noProof/>
          <w:szCs w:val="26"/>
        </w:rPr>
      </w:pPr>
      <w:r>
        <w:rPr>
          <w:noProof/>
          <w:szCs w:val="26"/>
        </w:rPr>
        <w:t>The committee considers that the ES addresses the issue of consultation only indirectly, and it is not clear whether consultation was considered unnecessary or inappropriate due to the nature of the instrument or because of plans for future consultation.</w:t>
      </w:r>
      <w:r w:rsidRPr="00134E6B">
        <w:rPr>
          <w:b/>
          <w:noProof/>
          <w:szCs w:val="26"/>
        </w:rPr>
        <w:t xml:space="preserve"> The committee </w:t>
      </w:r>
      <w:r>
        <w:rPr>
          <w:b/>
          <w:noProof/>
          <w:szCs w:val="26"/>
        </w:rPr>
        <w:t xml:space="preserve">will therefore </w:t>
      </w:r>
      <w:r w:rsidRPr="00134E6B">
        <w:rPr>
          <w:b/>
          <w:noProof/>
          <w:szCs w:val="26"/>
        </w:rPr>
        <w:t>seek further information from the minister</w:t>
      </w:r>
      <w:r>
        <w:rPr>
          <w:b/>
          <w:noProof/>
          <w:szCs w:val="26"/>
        </w:rPr>
        <w:t xml:space="preserve"> </w:t>
      </w:r>
      <w:r w:rsidRPr="00940F8E">
        <w:rPr>
          <w:b/>
          <w:noProof/>
        </w:rPr>
        <w:t xml:space="preserve">and request that the ES be updated in accordance with the requirements of the </w:t>
      </w:r>
      <w:r w:rsidRPr="00E2599D">
        <w:rPr>
          <w:b/>
          <w:i/>
          <w:noProof/>
        </w:rPr>
        <w:t>Legislative Instruments Act 2003</w:t>
      </w:r>
      <w:r w:rsidRPr="00310C67">
        <w:rPr>
          <w:noProof/>
          <w:szCs w:val="26"/>
        </w:rPr>
        <w:t>.</w:t>
      </w:r>
    </w:p>
    <w:p w:rsidR="00EC5913" w:rsidRDefault="00EC5913" w:rsidP="008702B8">
      <w:pPr>
        <w:pStyle w:val="Bullet1"/>
        <w:numPr>
          <w:ilvl w:val="0"/>
          <w:numId w:val="0"/>
        </w:numPr>
        <w:spacing w:after="0"/>
        <w:ind w:left="851" w:hanging="851"/>
        <w:sectPr w:rsidR="00EC5913" w:rsidSect="001E0AC1">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pgNumType w:start="95"/>
          <w:cols w:space="708"/>
          <w:titlePg/>
          <w:docGrid w:linePitch="360"/>
        </w:sectPr>
      </w:pPr>
      <w:r>
        <w:br w:type="page"/>
      </w:r>
    </w:p>
    <w:p w:rsidR="00EC5913" w:rsidRDefault="00EC5913" w:rsidP="00EC5913">
      <w:pPr>
        <w:pStyle w:val="Heading1"/>
      </w:pPr>
      <w:r>
        <w:lastRenderedPageBreak/>
        <w:t>Chapter 2</w:t>
      </w:r>
    </w:p>
    <w:p w:rsidR="00EC5913" w:rsidRDefault="00EC5913" w:rsidP="00EC5913">
      <w:pPr>
        <w:pStyle w:val="Heading2"/>
      </w:pPr>
      <w:r>
        <w:t>Concluded matters</w:t>
      </w:r>
    </w:p>
    <w:p w:rsidR="00EC5913" w:rsidRDefault="00EC5913" w:rsidP="00EC5913">
      <w:pPr>
        <w:pStyle w:val="Level1"/>
        <w:numPr>
          <w:ilvl w:val="0"/>
          <w:numId w:val="0"/>
        </w:numPr>
      </w:pPr>
      <w:r>
        <w:t xml:space="preserve">There was no correspondence from ministers or instrument-makers for consideration and hence no matters concluded at the committee's meeting of </w:t>
      </w:r>
      <w:r w:rsidRPr="009716F4">
        <w:rPr>
          <w:b/>
        </w:rPr>
        <w:t>28</w:t>
      </w:r>
      <w:r w:rsidRPr="00C6376A">
        <w:rPr>
          <w:b/>
        </w:rPr>
        <w:t xml:space="preserve"> </w:t>
      </w:r>
      <w:r>
        <w:rPr>
          <w:b/>
        </w:rPr>
        <w:t xml:space="preserve">February </w:t>
      </w:r>
      <w:r w:rsidRPr="00EF32A2">
        <w:rPr>
          <w:b/>
        </w:rPr>
        <w:t>201</w:t>
      </w:r>
      <w:r>
        <w:rPr>
          <w:b/>
        </w:rPr>
        <w:t>3</w:t>
      </w:r>
      <w:r>
        <w:t>.</w:t>
      </w:r>
    </w:p>
    <w:p w:rsidR="00EC5913" w:rsidRDefault="00EC5913" w:rsidP="008702B8">
      <w:pPr>
        <w:pStyle w:val="Bullet1"/>
        <w:numPr>
          <w:ilvl w:val="0"/>
          <w:numId w:val="0"/>
        </w:numPr>
        <w:spacing w:after="0"/>
        <w:ind w:left="851" w:hanging="851"/>
        <w:sectPr w:rsidR="00EC5913" w:rsidSect="00BD6245">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pgNumType w:start="117"/>
          <w:cols w:space="708"/>
          <w:titlePg/>
          <w:docGrid w:linePitch="360"/>
        </w:sectPr>
      </w:pPr>
      <w:r>
        <w:br w:type="page"/>
      </w:r>
    </w:p>
    <w:p w:rsidR="00EC5913" w:rsidRDefault="00EC5913" w:rsidP="00EC5913">
      <w:pPr>
        <w:pStyle w:val="Heading1"/>
        <w:tabs>
          <w:tab w:val="left" w:pos="284"/>
        </w:tabs>
      </w:pPr>
      <w:r>
        <w:lastRenderedPageBreak/>
        <w:t>Appendix 1</w:t>
      </w:r>
    </w:p>
    <w:p w:rsidR="00EC5913" w:rsidRDefault="00EC5913" w:rsidP="00EC5913">
      <w:pPr>
        <w:pStyle w:val="Heading2"/>
        <w:tabs>
          <w:tab w:val="left" w:pos="284"/>
        </w:tabs>
      </w:pPr>
      <w:r>
        <w:t>Index of instruments scrutinised</w:t>
      </w:r>
    </w:p>
    <w:p w:rsidR="00EC5913" w:rsidRDefault="00EC5913" w:rsidP="00EC5913">
      <w:pPr>
        <w:tabs>
          <w:tab w:val="left" w:pos="284"/>
        </w:tabs>
      </w:pPr>
      <w:r>
        <w:t xml:space="preserve">The following instruments were considered by the committee at its meeting on </w:t>
      </w:r>
      <w:r>
        <w:rPr>
          <w:b/>
        </w:rPr>
        <w:t>28 </w:t>
      </w:r>
      <w:r w:rsidRPr="00476849">
        <w:rPr>
          <w:b/>
        </w:rPr>
        <w:t xml:space="preserve">February </w:t>
      </w:r>
      <w:r>
        <w:rPr>
          <w:b/>
        </w:rPr>
        <w:t>2013</w:t>
      </w:r>
      <w:r>
        <w:t>.</w:t>
      </w:r>
    </w:p>
    <w:p w:rsidR="00EC5913" w:rsidRDefault="00EC5913" w:rsidP="00EC5913">
      <w:pPr>
        <w:tabs>
          <w:tab w:val="left" w:pos="284"/>
        </w:tabs>
      </w:pPr>
      <w:r w:rsidRPr="005B5F6E">
        <w:t xml:space="preserve">The Federal Register of Legislative Instruments (FRLI) website should be consulted for the text of instruments and explanatory statements, as </w:t>
      </w:r>
      <w:r>
        <w:t>well as associated information.</w:t>
      </w:r>
      <w:r>
        <w:rPr>
          <w:rStyle w:val="FootnoteReference"/>
        </w:rPr>
        <w:footnoteReference w:id="6"/>
      </w:r>
      <w:r w:rsidRPr="005B5F6E">
        <w:t xml:space="preserve"> Instruments may be located on FRLI by entering the relevant FRLI number into the FRLI search field (the FRLI number is shown in square brackets after the name of each instrument listed below).</w:t>
      </w:r>
    </w:p>
    <w:p w:rsidR="00EC5913" w:rsidRPr="00C45C72" w:rsidRDefault="00EC5913" w:rsidP="00EC5913">
      <w:pPr>
        <w:pStyle w:val="Heading3"/>
        <w:tabs>
          <w:tab w:val="left" w:pos="284"/>
        </w:tabs>
        <w:spacing w:after="240"/>
        <w:jc w:val="center"/>
        <w:rPr>
          <w:u w:val="single"/>
        </w:rPr>
      </w:pPr>
      <w:r w:rsidRPr="00C45C72">
        <w:rPr>
          <w:u w:val="single"/>
        </w:rPr>
        <w:t xml:space="preserve">Instruments received week ending </w:t>
      </w:r>
      <w:r>
        <w:rPr>
          <w:u w:val="single"/>
        </w:rPr>
        <w:t>11 January 2013</w:t>
      </w:r>
    </w:p>
    <w:p w:rsidR="00EC5913" w:rsidRPr="00476849" w:rsidRDefault="00EC5913" w:rsidP="00EC5913">
      <w:pPr>
        <w:spacing w:after="120"/>
        <w:ind w:right="-46"/>
        <w:rPr>
          <w:sz w:val="24"/>
          <w:szCs w:val="24"/>
        </w:rPr>
      </w:pPr>
      <w:r w:rsidRPr="00476849">
        <w:rPr>
          <w:b/>
          <w:i/>
          <w:sz w:val="24"/>
          <w:szCs w:val="24"/>
        </w:rPr>
        <w:t>A New Tax System (Family Assistance) Act 1999</w:t>
      </w:r>
    </w:p>
    <w:p w:rsidR="00EC5913" w:rsidRPr="00476849" w:rsidRDefault="00EC5913" w:rsidP="00EC5913">
      <w:pPr>
        <w:spacing w:after="0"/>
        <w:ind w:right="-46"/>
        <w:jc w:val="left"/>
        <w:rPr>
          <w:sz w:val="22"/>
          <w:szCs w:val="22"/>
        </w:rPr>
      </w:pPr>
      <w:r w:rsidRPr="00476849">
        <w:rPr>
          <w:sz w:val="22"/>
          <w:szCs w:val="22"/>
        </w:rPr>
        <w:t>Schoolkids Bonus Determination 2012 [F2012L02562]</w:t>
      </w:r>
    </w:p>
    <w:p w:rsidR="00EC5913" w:rsidRPr="00476849" w:rsidRDefault="00EC5913" w:rsidP="00EC5913">
      <w:pPr>
        <w:spacing w:after="0"/>
        <w:ind w:right="-46"/>
        <w:rPr>
          <w:sz w:val="22"/>
          <w:szCs w:val="22"/>
        </w:rPr>
      </w:pPr>
    </w:p>
    <w:p w:rsidR="00EC5913" w:rsidRPr="00476849" w:rsidRDefault="00EC5913" w:rsidP="00EC5913">
      <w:pPr>
        <w:spacing w:after="120"/>
        <w:ind w:right="-46"/>
        <w:rPr>
          <w:sz w:val="24"/>
          <w:szCs w:val="24"/>
        </w:rPr>
      </w:pPr>
      <w:r w:rsidRPr="00476849">
        <w:rPr>
          <w:b/>
          <w:sz w:val="24"/>
          <w:szCs w:val="24"/>
        </w:rPr>
        <w:t>Annual Appropriation Acts</w:t>
      </w:r>
    </w:p>
    <w:p w:rsidR="00EC5913" w:rsidRPr="00476849" w:rsidRDefault="00EC5913" w:rsidP="00EC5913">
      <w:pPr>
        <w:spacing w:after="0"/>
        <w:ind w:right="-46"/>
        <w:jc w:val="left"/>
        <w:rPr>
          <w:sz w:val="22"/>
          <w:szCs w:val="22"/>
        </w:rPr>
      </w:pPr>
      <w:r w:rsidRPr="00476849">
        <w:rPr>
          <w:sz w:val="22"/>
          <w:szCs w:val="22"/>
        </w:rPr>
        <w:t xml:space="preserve">Determination to Reduce Appropriations </w:t>
      </w:r>
      <w:proofErr w:type="gramStart"/>
      <w:r w:rsidRPr="00476849">
        <w:rPr>
          <w:sz w:val="22"/>
          <w:szCs w:val="22"/>
        </w:rPr>
        <w:t>Upon</w:t>
      </w:r>
      <w:proofErr w:type="gramEnd"/>
      <w:r w:rsidRPr="00476849">
        <w:rPr>
          <w:sz w:val="22"/>
          <w:szCs w:val="22"/>
        </w:rPr>
        <w:t xml:space="preserve"> Request (No. 2 of 2012-2013) [F2013L00035]</w:t>
      </w:r>
    </w:p>
    <w:p w:rsidR="00EC5913" w:rsidRPr="00476849" w:rsidRDefault="00EC5913" w:rsidP="00EC5913">
      <w:pPr>
        <w:spacing w:after="0"/>
        <w:ind w:right="-46"/>
        <w:rPr>
          <w:sz w:val="22"/>
          <w:szCs w:val="22"/>
        </w:rPr>
      </w:pPr>
    </w:p>
    <w:p w:rsidR="00EC5913" w:rsidRPr="00476849" w:rsidRDefault="00EC5913" w:rsidP="00EC5913">
      <w:pPr>
        <w:spacing w:after="120"/>
        <w:ind w:right="-46"/>
        <w:rPr>
          <w:sz w:val="24"/>
          <w:szCs w:val="24"/>
        </w:rPr>
      </w:pPr>
      <w:r w:rsidRPr="00476849">
        <w:rPr>
          <w:b/>
          <w:i/>
          <w:sz w:val="24"/>
          <w:szCs w:val="24"/>
        </w:rPr>
        <w:t>Anti-Money Laundering and Counter-Terrorism Financing Act 2006</w:t>
      </w:r>
    </w:p>
    <w:p w:rsidR="00EC5913" w:rsidRPr="00476849" w:rsidRDefault="00EC5913" w:rsidP="00EC5913">
      <w:pPr>
        <w:spacing w:after="0"/>
        <w:ind w:right="-46"/>
        <w:jc w:val="left"/>
        <w:rPr>
          <w:sz w:val="22"/>
          <w:szCs w:val="22"/>
        </w:rPr>
      </w:pPr>
      <w:r w:rsidRPr="00476849">
        <w:rPr>
          <w:sz w:val="22"/>
          <w:szCs w:val="22"/>
        </w:rPr>
        <w:t>Anti-Money Laundering and Counter-Terrorism Financing Rules</w:t>
      </w:r>
      <w:r>
        <w:rPr>
          <w:sz w:val="22"/>
          <w:szCs w:val="22"/>
        </w:rPr>
        <w:t xml:space="preserve"> Amendment Instrument 2012 (No. </w:t>
      </w:r>
      <w:r w:rsidRPr="00476849">
        <w:rPr>
          <w:sz w:val="22"/>
          <w:szCs w:val="22"/>
        </w:rPr>
        <w:t>5) [F2012L02563]</w:t>
      </w:r>
    </w:p>
    <w:p w:rsidR="00EC5913" w:rsidRPr="00476849" w:rsidRDefault="00EC5913" w:rsidP="00EC5913">
      <w:pPr>
        <w:spacing w:after="0"/>
        <w:ind w:right="-46"/>
        <w:rPr>
          <w:sz w:val="22"/>
          <w:szCs w:val="22"/>
        </w:rPr>
      </w:pPr>
    </w:p>
    <w:p w:rsidR="00EC5913" w:rsidRPr="00476849" w:rsidRDefault="00EC5913" w:rsidP="00EC5913">
      <w:pPr>
        <w:spacing w:after="120"/>
        <w:ind w:right="-46"/>
        <w:rPr>
          <w:sz w:val="24"/>
          <w:szCs w:val="24"/>
        </w:rPr>
      </w:pPr>
      <w:r w:rsidRPr="00476849">
        <w:rPr>
          <w:b/>
          <w:i/>
          <w:sz w:val="24"/>
          <w:szCs w:val="24"/>
        </w:rPr>
        <w:t>Australian Capital Territory (Planning and Land Management) Act 1988</w:t>
      </w:r>
    </w:p>
    <w:p w:rsidR="00EC5913" w:rsidRPr="00476849" w:rsidRDefault="00EC5913" w:rsidP="00EC5913">
      <w:pPr>
        <w:spacing w:after="0"/>
        <w:ind w:right="-46"/>
        <w:jc w:val="left"/>
        <w:rPr>
          <w:sz w:val="22"/>
          <w:szCs w:val="22"/>
        </w:rPr>
      </w:pPr>
      <w:r w:rsidRPr="00476849">
        <w:rPr>
          <w:sz w:val="22"/>
          <w:szCs w:val="22"/>
        </w:rPr>
        <w:t>National Capital Plan – Amendment 75 – Australian Defence Force Academy and Royal Military College Duntroon Master Plan [F2013L00036]</w:t>
      </w:r>
    </w:p>
    <w:p w:rsidR="00EC5913" w:rsidRPr="00476849" w:rsidRDefault="00EC5913" w:rsidP="00EC5913">
      <w:pPr>
        <w:spacing w:after="0"/>
        <w:ind w:right="-46"/>
        <w:rPr>
          <w:sz w:val="22"/>
          <w:szCs w:val="22"/>
        </w:rPr>
      </w:pPr>
    </w:p>
    <w:p w:rsidR="00EC5913" w:rsidRPr="00476849" w:rsidRDefault="00EC5913" w:rsidP="00EC5913">
      <w:pPr>
        <w:spacing w:after="120"/>
        <w:ind w:right="-46"/>
        <w:rPr>
          <w:b/>
          <w:i/>
          <w:sz w:val="24"/>
          <w:szCs w:val="24"/>
        </w:rPr>
      </w:pPr>
      <w:r w:rsidRPr="00476849">
        <w:rPr>
          <w:b/>
          <w:i/>
          <w:sz w:val="24"/>
          <w:szCs w:val="24"/>
        </w:rPr>
        <w:t>Australian Prudential Regulation Authority Act 1998</w:t>
      </w:r>
    </w:p>
    <w:p w:rsidR="00EC5913" w:rsidRPr="00476849" w:rsidRDefault="00EC5913" w:rsidP="00EC5913">
      <w:pPr>
        <w:spacing w:after="60"/>
        <w:ind w:right="-46"/>
        <w:jc w:val="left"/>
        <w:rPr>
          <w:color w:val="000000"/>
          <w:sz w:val="22"/>
          <w:szCs w:val="22"/>
        </w:rPr>
      </w:pPr>
      <w:r w:rsidRPr="00476849">
        <w:rPr>
          <w:color w:val="000000"/>
          <w:sz w:val="22"/>
          <w:szCs w:val="22"/>
        </w:rPr>
        <w:t>Australian Prudential Regulation Authority (confidentiality) determination No. 26 of 2012 [F2012L02526]</w:t>
      </w:r>
    </w:p>
    <w:p w:rsidR="00EC5913" w:rsidRPr="00476849" w:rsidRDefault="00EC5913" w:rsidP="00EC5913">
      <w:pPr>
        <w:spacing w:after="60"/>
        <w:ind w:right="-46"/>
        <w:jc w:val="left"/>
        <w:rPr>
          <w:color w:val="000000"/>
          <w:sz w:val="22"/>
          <w:szCs w:val="22"/>
        </w:rPr>
      </w:pPr>
      <w:r w:rsidRPr="00476849">
        <w:rPr>
          <w:color w:val="000000"/>
          <w:sz w:val="22"/>
          <w:szCs w:val="22"/>
        </w:rPr>
        <w:t>Australian Prudential Regulation Authority (confidentiality) determination No. 27 of 2012 [F2012L02528]</w:t>
      </w:r>
    </w:p>
    <w:p w:rsidR="00EC5913" w:rsidRPr="00476849" w:rsidRDefault="00EC5913" w:rsidP="00EC5913">
      <w:pPr>
        <w:spacing w:after="60"/>
        <w:ind w:right="-46"/>
        <w:jc w:val="left"/>
        <w:rPr>
          <w:color w:val="000000"/>
          <w:sz w:val="22"/>
          <w:szCs w:val="22"/>
        </w:rPr>
      </w:pPr>
      <w:r w:rsidRPr="00476849">
        <w:rPr>
          <w:color w:val="000000"/>
          <w:sz w:val="22"/>
          <w:szCs w:val="22"/>
        </w:rPr>
        <w:t>Australian Prudential Regulation Authority (confidentiality) determination No. 28 of 2012 [F2012L02536]</w:t>
      </w:r>
    </w:p>
    <w:p w:rsidR="00EC5913" w:rsidRPr="00476849" w:rsidRDefault="00EC5913" w:rsidP="00EC5913">
      <w:pPr>
        <w:spacing w:after="0"/>
        <w:ind w:right="-46"/>
        <w:jc w:val="left"/>
        <w:rPr>
          <w:color w:val="000000"/>
          <w:sz w:val="22"/>
          <w:szCs w:val="22"/>
        </w:rPr>
      </w:pPr>
      <w:r w:rsidRPr="00476849">
        <w:rPr>
          <w:color w:val="000000"/>
          <w:sz w:val="22"/>
          <w:szCs w:val="22"/>
        </w:rPr>
        <w:t>Australian Prudential Regulation Authority (confidentiality) determination No. 29 of 2012 [F2012L02538]</w:t>
      </w:r>
    </w:p>
    <w:p w:rsidR="00EC5913" w:rsidRPr="00476849" w:rsidRDefault="00EC5913" w:rsidP="00EC5913">
      <w:pPr>
        <w:spacing w:after="0"/>
        <w:ind w:right="-46"/>
        <w:rPr>
          <w:color w:val="000000"/>
          <w:sz w:val="22"/>
          <w:szCs w:val="22"/>
        </w:rPr>
      </w:pPr>
    </w:p>
    <w:p w:rsidR="00EC5913" w:rsidRPr="00476849" w:rsidRDefault="00EC5913" w:rsidP="00EC5913">
      <w:pPr>
        <w:spacing w:after="120"/>
        <w:ind w:right="-45"/>
        <w:rPr>
          <w:b/>
          <w:sz w:val="24"/>
          <w:szCs w:val="24"/>
        </w:rPr>
      </w:pPr>
      <w:r w:rsidRPr="00476849">
        <w:rPr>
          <w:b/>
          <w:i/>
          <w:sz w:val="24"/>
          <w:szCs w:val="24"/>
        </w:rPr>
        <w:t>Broadcasting Services Act 1992</w:t>
      </w:r>
    </w:p>
    <w:p w:rsidR="00EC5913" w:rsidRPr="00476849" w:rsidRDefault="00EC5913" w:rsidP="00EC5913">
      <w:pPr>
        <w:spacing w:after="60"/>
        <w:ind w:right="-45"/>
        <w:jc w:val="left"/>
        <w:rPr>
          <w:color w:val="000000"/>
          <w:sz w:val="22"/>
          <w:szCs w:val="22"/>
        </w:rPr>
      </w:pPr>
      <w:r w:rsidRPr="00476849">
        <w:rPr>
          <w:color w:val="000000"/>
          <w:sz w:val="22"/>
          <w:szCs w:val="22"/>
        </w:rPr>
        <w:t>Broadcasting Services (Events) Notice (No. 1) 2010 (Amendment No. 15 of 2012) [F2013L00002]</w:t>
      </w:r>
    </w:p>
    <w:p w:rsidR="00EC5913" w:rsidRPr="00476849" w:rsidRDefault="00EC5913" w:rsidP="00EC5913">
      <w:pPr>
        <w:spacing w:after="60"/>
        <w:ind w:right="-45"/>
        <w:jc w:val="left"/>
        <w:rPr>
          <w:color w:val="000000"/>
          <w:sz w:val="22"/>
          <w:szCs w:val="22"/>
        </w:rPr>
      </w:pPr>
      <w:r w:rsidRPr="00476849">
        <w:rPr>
          <w:color w:val="000000"/>
          <w:sz w:val="22"/>
          <w:szCs w:val="22"/>
        </w:rPr>
        <w:t>Television Licence Area Plan (Brisbane) 2012 [F2012L02495</w:t>
      </w:r>
    </w:p>
    <w:p w:rsidR="00EC5913" w:rsidRPr="00476849" w:rsidRDefault="00EC5913" w:rsidP="00EC5913">
      <w:pPr>
        <w:spacing w:after="60"/>
        <w:ind w:right="-45"/>
        <w:jc w:val="left"/>
        <w:rPr>
          <w:color w:val="000000"/>
          <w:sz w:val="22"/>
          <w:szCs w:val="22"/>
        </w:rPr>
      </w:pPr>
      <w:r w:rsidRPr="00476849">
        <w:rPr>
          <w:color w:val="000000"/>
          <w:sz w:val="22"/>
          <w:szCs w:val="22"/>
        </w:rPr>
        <w:t>Television Licence Area Plan (Northern New South Wales) 2012 [F2012L02537]</w:t>
      </w:r>
    </w:p>
    <w:p w:rsidR="00EC5913" w:rsidRPr="00476849" w:rsidRDefault="00EC5913" w:rsidP="00EC5913">
      <w:pPr>
        <w:spacing w:after="0"/>
        <w:ind w:right="-46"/>
        <w:jc w:val="left"/>
        <w:rPr>
          <w:color w:val="000000"/>
          <w:sz w:val="22"/>
          <w:szCs w:val="22"/>
        </w:rPr>
      </w:pPr>
      <w:r w:rsidRPr="00476849">
        <w:rPr>
          <w:color w:val="000000"/>
          <w:sz w:val="22"/>
          <w:szCs w:val="22"/>
        </w:rPr>
        <w:t>Television Licence Area Plan (Regional Queensland) 2012 [F2012L02530]</w:t>
      </w:r>
    </w:p>
    <w:p w:rsidR="00EC5913" w:rsidRPr="00476849" w:rsidRDefault="00EC5913" w:rsidP="00EC5913">
      <w:pPr>
        <w:spacing w:after="0"/>
        <w:ind w:right="-46"/>
        <w:rPr>
          <w:color w:val="000000"/>
          <w:sz w:val="22"/>
          <w:szCs w:val="22"/>
        </w:rPr>
      </w:pPr>
    </w:p>
    <w:p w:rsidR="00EC5913" w:rsidRPr="00476849" w:rsidRDefault="00EC5913" w:rsidP="00EC5913">
      <w:pPr>
        <w:spacing w:after="120"/>
        <w:ind w:right="-45"/>
        <w:rPr>
          <w:sz w:val="24"/>
          <w:szCs w:val="24"/>
        </w:rPr>
      </w:pPr>
      <w:r w:rsidRPr="00476849">
        <w:rPr>
          <w:b/>
          <w:i/>
          <w:sz w:val="24"/>
          <w:szCs w:val="24"/>
        </w:rPr>
        <w:t>Carbon Credits (Carbon Farming Initiative) Act 2011</w:t>
      </w:r>
    </w:p>
    <w:p w:rsidR="00EC5913" w:rsidRPr="00476849" w:rsidRDefault="00EC5913" w:rsidP="00EC5913">
      <w:pPr>
        <w:spacing w:after="60"/>
        <w:ind w:right="-45"/>
        <w:jc w:val="left"/>
        <w:rPr>
          <w:sz w:val="22"/>
          <w:szCs w:val="22"/>
        </w:rPr>
      </w:pPr>
      <w:r w:rsidRPr="00476849">
        <w:rPr>
          <w:sz w:val="22"/>
          <w:szCs w:val="22"/>
        </w:rPr>
        <w:t>Carbon Credits (Carbon Farming Initiative) (Capture and Combustion of Methane in Landfill Gas for Legacy Waste: Upgrade projects) Methodology Determination 2012 [F2012L02583]</w:t>
      </w:r>
    </w:p>
    <w:p w:rsidR="00EC5913" w:rsidRPr="00476849" w:rsidRDefault="00EC5913" w:rsidP="00EC5913">
      <w:pPr>
        <w:spacing w:after="0"/>
        <w:ind w:right="-46"/>
        <w:jc w:val="left"/>
        <w:rPr>
          <w:sz w:val="22"/>
          <w:szCs w:val="22"/>
        </w:rPr>
      </w:pPr>
      <w:r w:rsidRPr="00476849">
        <w:rPr>
          <w:sz w:val="22"/>
          <w:szCs w:val="22"/>
        </w:rPr>
        <w:t>Carbon Credits (Carbon Farming Initiative) (Destruction of Methane Generated from Dairy Manure in Covered Anaerobic Ponds) Methodology Determination 2012 [F2012L02571]</w:t>
      </w:r>
    </w:p>
    <w:p w:rsidR="00EC5913" w:rsidRPr="00476849" w:rsidRDefault="00EC5913" w:rsidP="00EC5913">
      <w:pPr>
        <w:spacing w:after="0"/>
        <w:ind w:right="-46"/>
        <w:rPr>
          <w:b/>
          <w:sz w:val="22"/>
          <w:szCs w:val="22"/>
        </w:rPr>
      </w:pPr>
    </w:p>
    <w:p w:rsidR="00EC5913" w:rsidRPr="00476849" w:rsidRDefault="00EC5913" w:rsidP="00EC5913">
      <w:pPr>
        <w:spacing w:after="120"/>
        <w:ind w:right="-45"/>
        <w:rPr>
          <w:sz w:val="24"/>
          <w:szCs w:val="24"/>
        </w:rPr>
      </w:pPr>
      <w:r w:rsidRPr="00476849">
        <w:rPr>
          <w:b/>
          <w:i/>
          <w:sz w:val="24"/>
          <w:szCs w:val="24"/>
        </w:rPr>
        <w:t>Civil Aviation Act 1988</w:t>
      </w:r>
    </w:p>
    <w:p w:rsidR="00EC5913" w:rsidRPr="00476849" w:rsidRDefault="00EC5913" w:rsidP="00EC5913">
      <w:pPr>
        <w:spacing w:after="60"/>
        <w:ind w:right="-45"/>
        <w:jc w:val="left"/>
        <w:rPr>
          <w:color w:val="000000"/>
          <w:sz w:val="22"/>
          <w:szCs w:val="22"/>
        </w:rPr>
      </w:pPr>
      <w:r w:rsidRPr="00476849">
        <w:rPr>
          <w:color w:val="000000"/>
          <w:sz w:val="22"/>
          <w:szCs w:val="22"/>
        </w:rPr>
        <w:t>CASA ADCX 025/12 – Revocation of Airworthiness Directives [F2013L00005]</w:t>
      </w:r>
    </w:p>
    <w:p w:rsidR="00EC5913" w:rsidRPr="00476849" w:rsidRDefault="00EC5913" w:rsidP="00EC5913">
      <w:pPr>
        <w:spacing w:after="60"/>
        <w:ind w:right="-45"/>
        <w:jc w:val="left"/>
        <w:rPr>
          <w:color w:val="000000"/>
          <w:sz w:val="22"/>
          <w:szCs w:val="22"/>
        </w:rPr>
      </w:pPr>
      <w:proofErr w:type="gramStart"/>
      <w:r>
        <w:rPr>
          <w:color w:val="000000"/>
          <w:sz w:val="22"/>
          <w:szCs w:val="22"/>
        </w:rPr>
        <w:t xml:space="preserve">CASA EX 190/12 – Exemption – </w:t>
      </w:r>
      <w:r w:rsidRPr="00476849">
        <w:rPr>
          <w:color w:val="000000"/>
          <w:sz w:val="22"/>
          <w:szCs w:val="22"/>
        </w:rPr>
        <w:t>from standard take-off and landing minima – Airasia X SDN.</w:t>
      </w:r>
      <w:proofErr w:type="gramEnd"/>
      <w:r w:rsidRPr="00476849">
        <w:rPr>
          <w:color w:val="000000"/>
          <w:sz w:val="22"/>
          <w:szCs w:val="22"/>
        </w:rPr>
        <w:t xml:space="preserve"> BHD [F2013L00033]</w:t>
      </w:r>
    </w:p>
    <w:p w:rsidR="00EC5913" w:rsidRPr="00476849" w:rsidRDefault="00EC5913" w:rsidP="00EC5913">
      <w:pPr>
        <w:spacing w:after="60"/>
        <w:ind w:right="-45"/>
        <w:jc w:val="left"/>
        <w:rPr>
          <w:color w:val="000000"/>
          <w:sz w:val="22"/>
          <w:szCs w:val="22"/>
        </w:rPr>
      </w:pPr>
      <w:r w:rsidRPr="00476849">
        <w:rPr>
          <w:color w:val="000000"/>
          <w:sz w:val="22"/>
          <w:szCs w:val="22"/>
        </w:rPr>
        <w:t>CASA EX191/12 - Exemption - solo flight training using ultralight aeroplanes registered with Recreational Aviation Australia Incorporated at Jandakot Aerodrome [F2012L02521]</w:t>
      </w:r>
    </w:p>
    <w:p w:rsidR="00EC5913" w:rsidRPr="00476849" w:rsidRDefault="00EC5913" w:rsidP="00EC5913">
      <w:pPr>
        <w:spacing w:after="60"/>
        <w:ind w:right="-45"/>
        <w:jc w:val="left"/>
        <w:rPr>
          <w:color w:val="000000"/>
          <w:sz w:val="22"/>
          <w:szCs w:val="22"/>
        </w:rPr>
      </w:pPr>
      <w:r w:rsidRPr="00476849">
        <w:rPr>
          <w:color w:val="000000"/>
          <w:sz w:val="22"/>
          <w:szCs w:val="22"/>
        </w:rPr>
        <w:t>CASA EX193/12 - Exemption - operations by paragliders in the Corryong Open and hang-gliders in the Corryong Cup [F2012L02520]</w:t>
      </w:r>
    </w:p>
    <w:p w:rsidR="00EC5913" w:rsidRPr="00476849" w:rsidRDefault="00EC5913" w:rsidP="00EC5913">
      <w:pPr>
        <w:spacing w:after="60"/>
        <w:ind w:right="-45"/>
        <w:jc w:val="left"/>
        <w:rPr>
          <w:color w:val="000000"/>
          <w:sz w:val="22"/>
          <w:szCs w:val="22"/>
        </w:rPr>
      </w:pPr>
      <w:r w:rsidRPr="00476849">
        <w:rPr>
          <w:color w:val="000000"/>
          <w:sz w:val="22"/>
          <w:szCs w:val="22"/>
        </w:rPr>
        <w:t>CASA EX194/12 - Exemption - operations by hang-gliders in the Forbes Flatlands Hang Gliding Championships 2012-2013 [F2012L02527]</w:t>
      </w:r>
    </w:p>
    <w:p w:rsidR="00EC5913" w:rsidRPr="00476849" w:rsidRDefault="00EC5913" w:rsidP="00EC5913">
      <w:pPr>
        <w:spacing w:after="0"/>
        <w:ind w:right="-46"/>
        <w:jc w:val="left"/>
        <w:rPr>
          <w:color w:val="000000"/>
          <w:sz w:val="22"/>
          <w:szCs w:val="22"/>
        </w:rPr>
      </w:pPr>
      <w:r w:rsidRPr="00476849">
        <w:rPr>
          <w:color w:val="000000"/>
          <w:sz w:val="22"/>
          <w:szCs w:val="22"/>
        </w:rPr>
        <w:t>Civil Aviation Order 20.18 Amendment Instrument 2012 (No. 2) [F2012L02556]</w:t>
      </w:r>
    </w:p>
    <w:p w:rsidR="00EC5913" w:rsidRPr="00476849" w:rsidRDefault="00EC5913" w:rsidP="00EC5913">
      <w:pPr>
        <w:spacing w:after="0"/>
        <w:ind w:right="-46"/>
        <w:rPr>
          <w:color w:val="000000"/>
          <w:sz w:val="22"/>
          <w:szCs w:val="22"/>
        </w:rPr>
      </w:pPr>
    </w:p>
    <w:p w:rsidR="00EC5913" w:rsidRPr="00476849" w:rsidRDefault="00EC5913" w:rsidP="00EC5913">
      <w:pPr>
        <w:spacing w:after="120"/>
        <w:ind w:right="-45"/>
        <w:rPr>
          <w:sz w:val="24"/>
          <w:szCs w:val="24"/>
        </w:rPr>
      </w:pPr>
      <w:r w:rsidRPr="00476849">
        <w:rPr>
          <w:b/>
          <w:i/>
          <w:sz w:val="24"/>
          <w:szCs w:val="24"/>
        </w:rPr>
        <w:t>Coastal Trading (Revitalising Australian Shipping) Act 2012</w:t>
      </w:r>
    </w:p>
    <w:p w:rsidR="00EC5913" w:rsidRPr="00476849" w:rsidRDefault="00EC5913" w:rsidP="00EC5913">
      <w:pPr>
        <w:spacing w:after="0"/>
        <w:ind w:right="-46"/>
        <w:jc w:val="left"/>
        <w:rPr>
          <w:sz w:val="22"/>
          <w:szCs w:val="22"/>
        </w:rPr>
      </w:pPr>
      <w:r w:rsidRPr="00476849">
        <w:rPr>
          <w:sz w:val="22"/>
          <w:szCs w:val="22"/>
        </w:rPr>
        <w:t>Coastal Trading (Revitalising Australian Shipping) Act 2012 – Section 11 exemption for cruise vessels [F2012L02585]</w:t>
      </w:r>
    </w:p>
    <w:p w:rsidR="00EC5913" w:rsidRPr="00476849" w:rsidRDefault="00EC5913" w:rsidP="00EC5913">
      <w:pPr>
        <w:spacing w:after="0"/>
        <w:ind w:right="-46"/>
        <w:rPr>
          <w:sz w:val="22"/>
          <w:szCs w:val="22"/>
        </w:rPr>
      </w:pPr>
    </w:p>
    <w:p w:rsidR="00EC5913" w:rsidRPr="00476849" w:rsidRDefault="00EC5913" w:rsidP="00EC5913">
      <w:pPr>
        <w:spacing w:after="120"/>
        <w:ind w:right="-45"/>
        <w:rPr>
          <w:sz w:val="24"/>
          <w:szCs w:val="24"/>
        </w:rPr>
      </w:pPr>
      <w:r w:rsidRPr="00476849">
        <w:rPr>
          <w:b/>
          <w:i/>
          <w:sz w:val="24"/>
          <w:szCs w:val="24"/>
        </w:rPr>
        <w:t>Commonwealth Places (Mirror Taxes) Act 1998</w:t>
      </w:r>
    </w:p>
    <w:p w:rsidR="00EC5913" w:rsidRPr="00476849" w:rsidRDefault="00EC5913" w:rsidP="00EC5913">
      <w:pPr>
        <w:spacing w:after="0"/>
        <w:ind w:right="-46"/>
        <w:jc w:val="left"/>
        <w:rPr>
          <w:color w:val="000000"/>
          <w:sz w:val="22"/>
          <w:szCs w:val="22"/>
        </w:rPr>
      </w:pPr>
      <w:r w:rsidRPr="00476849">
        <w:rPr>
          <w:color w:val="000000"/>
          <w:sz w:val="22"/>
          <w:szCs w:val="22"/>
        </w:rPr>
        <w:t>Commonwealth Places (Mirror Taxes) (Modification of Applied Laws (WA)) Amendment Notice 2012 [F2012L02505]</w:t>
      </w:r>
    </w:p>
    <w:p w:rsidR="00EC5913" w:rsidRPr="00476849" w:rsidRDefault="00EC5913" w:rsidP="00EC5913">
      <w:pPr>
        <w:spacing w:after="0"/>
        <w:ind w:right="-46"/>
        <w:rPr>
          <w:color w:val="000000"/>
          <w:sz w:val="22"/>
          <w:szCs w:val="22"/>
        </w:rPr>
      </w:pPr>
    </w:p>
    <w:p w:rsidR="00EC5913" w:rsidRPr="00476849" w:rsidRDefault="00EC5913" w:rsidP="00EC5913">
      <w:pPr>
        <w:spacing w:after="120"/>
        <w:ind w:right="-45"/>
        <w:rPr>
          <w:sz w:val="24"/>
          <w:szCs w:val="24"/>
        </w:rPr>
      </w:pPr>
      <w:r w:rsidRPr="00476849">
        <w:rPr>
          <w:b/>
          <w:i/>
          <w:sz w:val="24"/>
          <w:szCs w:val="24"/>
        </w:rPr>
        <w:t>Corporations Act 2001</w:t>
      </w:r>
    </w:p>
    <w:p w:rsidR="00EC5913" w:rsidRPr="00476849" w:rsidRDefault="00EC5913" w:rsidP="00EC5913">
      <w:pPr>
        <w:spacing w:after="60"/>
        <w:ind w:right="-45"/>
        <w:jc w:val="left"/>
        <w:rPr>
          <w:color w:val="000000"/>
          <w:sz w:val="22"/>
          <w:szCs w:val="22"/>
        </w:rPr>
      </w:pPr>
      <w:r w:rsidRPr="00476849">
        <w:rPr>
          <w:color w:val="000000"/>
          <w:sz w:val="22"/>
          <w:szCs w:val="22"/>
        </w:rPr>
        <w:t>ASIC Class Order [CO 12/1712] [F2012L02579]</w:t>
      </w:r>
    </w:p>
    <w:p w:rsidR="00EC5913" w:rsidRPr="00476849" w:rsidRDefault="00EC5913" w:rsidP="00EC5913">
      <w:pPr>
        <w:spacing w:after="60"/>
        <w:ind w:right="-45"/>
        <w:jc w:val="left"/>
        <w:rPr>
          <w:color w:val="000000"/>
          <w:sz w:val="22"/>
          <w:szCs w:val="22"/>
        </w:rPr>
      </w:pPr>
      <w:r w:rsidRPr="00476849">
        <w:rPr>
          <w:color w:val="000000"/>
          <w:sz w:val="22"/>
          <w:szCs w:val="22"/>
        </w:rPr>
        <w:t>ASIC Class Rule Waiver [CW 12/1710] [F2012L02499]</w:t>
      </w:r>
    </w:p>
    <w:p w:rsidR="00EC5913" w:rsidRPr="00476849" w:rsidRDefault="00EC5913" w:rsidP="00EC5913">
      <w:pPr>
        <w:spacing w:after="60"/>
        <w:ind w:right="-45"/>
        <w:jc w:val="left"/>
        <w:rPr>
          <w:color w:val="000000"/>
          <w:sz w:val="22"/>
          <w:szCs w:val="22"/>
        </w:rPr>
      </w:pPr>
      <w:r w:rsidRPr="00476849">
        <w:rPr>
          <w:color w:val="000000"/>
          <w:sz w:val="22"/>
          <w:szCs w:val="22"/>
        </w:rPr>
        <w:t>Corporations Act 2001 - Determination of Financial Stability Standards [F2012L02540]</w:t>
      </w:r>
    </w:p>
    <w:p w:rsidR="00EC5913" w:rsidRPr="00476849" w:rsidRDefault="00EC5913" w:rsidP="00EC5913">
      <w:pPr>
        <w:spacing w:after="0"/>
        <w:ind w:right="-46"/>
        <w:jc w:val="left"/>
        <w:rPr>
          <w:color w:val="000000"/>
          <w:sz w:val="22"/>
          <w:szCs w:val="22"/>
        </w:rPr>
      </w:pPr>
      <w:r w:rsidRPr="00476849">
        <w:rPr>
          <w:color w:val="000000"/>
          <w:sz w:val="22"/>
          <w:szCs w:val="22"/>
        </w:rPr>
        <w:t>Corporations Act 2001 - Revocation of Financial Stability Standards 2012 [F2012L02539]</w:t>
      </w:r>
    </w:p>
    <w:p w:rsidR="00EC5913" w:rsidRPr="00476849" w:rsidRDefault="00EC5913" w:rsidP="00EC5913">
      <w:pPr>
        <w:spacing w:after="0"/>
        <w:ind w:right="-46"/>
        <w:rPr>
          <w:color w:val="000000"/>
          <w:sz w:val="22"/>
          <w:szCs w:val="22"/>
        </w:rPr>
      </w:pPr>
    </w:p>
    <w:p w:rsidR="00EC5913" w:rsidRPr="00476849" w:rsidRDefault="00EC5913" w:rsidP="00EC5913">
      <w:pPr>
        <w:spacing w:after="120"/>
        <w:ind w:right="-45"/>
        <w:rPr>
          <w:sz w:val="24"/>
          <w:szCs w:val="24"/>
        </w:rPr>
      </w:pPr>
      <w:r w:rsidRPr="00476849">
        <w:rPr>
          <w:b/>
          <w:i/>
          <w:sz w:val="24"/>
          <w:szCs w:val="24"/>
        </w:rPr>
        <w:t>Customs Act 1901</w:t>
      </w:r>
    </w:p>
    <w:p w:rsidR="00EC5913" w:rsidRPr="00476849" w:rsidRDefault="00EC5913" w:rsidP="00EC5913">
      <w:pPr>
        <w:spacing w:after="0"/>
        <w:ind w:right="-46"/>
        <w:jc w:val="left"/>
        <w:rPr>
          <w:sz w:val="22"/>
          <w:szCs w:val="22"/>
        </w:rPr>
      </w:pPr>
      <w:r w:rsidRPr="00476849">
        <w:rPr>
          <w:sz w:val="22"/>
          <w:szCs w:val="22"/>
        </w:rPr>
        <w:t>Customs (Malaysian Rules of Origin) Regulation 2012 [Select Legislative Instrument 2012 No. 318] [F2012L02435]</w:t>
      </w:r>
    </w:p>
    <w:p w:rsidR="00EC5913" w:rsidRPr="00476849" w:rsidRDefault="00EC5913" w:rsidP="00EC5913">
      <w:pPr>
        <w:spacing w:after="0"/>
        <w:ind w:right="-46"/>
        <w:rPr>
          <w:sz w:val="22"/>
          <w:szCs w:val="22"/>
        </w:rPr>
      </w:pPr>
    </w:p>
    <w:p w:rsidR="00EC5913" w:rsidRPr="00476849" w:rsidRDefault="00EC5913" w:rsidP="00EC5913">
      <w:pPr>
        <w:spacing w:after="120"/>
        <w:ind w:right="-45"/>
        <w:rPr>
          <w:sz w:val="24"/>
          <w:szCs w:val="24"/>
        </w:rPr>
      </w:pPr>
      <w:r w:rsidRPr="00476849">
        <w:rPr>
          <w:b/>
          <w:i/>
          <w:sz w:val="24"/>
          <w:szCs w:val="24"/>
        </w:rPr>
        <w:t>Education Services for Overseas Students (TPS Levies) Act 2012</w:t>
      </w:r>
    </w:p>
    <w:p w:rsidR="00EC5913" w:rsidRPr="00476849" w:rsidRDefault="00EC5913" w:rsidP="00EC5913">
      <w:pPr>
        <w:spacing w:after="0"/>
        <w:ind w:right="-46"/>
        <w:jc w:val="left"/>
        <w:rPr>
          <w:sz w:val="22"/>
          <w:szCs w:val="22"/>
        </w:rPr>
      </w:pPr>
      <w:r w:rsidRPr="00476849">
        <w:rPr>
          <w:sz w:val="22"/>
          <w:szCs w:val="22"/>
        </w:rPr>
        <w:t>Education Services for Overseas Students (TPS Levies) (Risk Rated Premium and Special Tuition Protection Components) Determination 2012 [F2012L02575]</w:t>
      </w:r>
    </w:p>
    <w:p w:rsidR="00EC5913" w:rsidRPr="00476849" w:rsidRDefault="00EC5913" w:rsidP="00EC5913">
      <w:pPr>
        <w:spacing w:after="0"/>
        <w:ind w:right="-46"/>
        <w:rPr>
          <w:sz w:val="22"/>
          <w:szCs w:val="22"/>
        </w:rPr>
      </w:pPr>
    </w:p>
    <w:p w:rsidR="00EC5913" w:rsidRPr="00476849" w:rsidRDefault="00EC5913" w:rsidP="00EC5913">
      <w:pPr>
        <w:spacing w:after="120"/>
        <w:ind w:right="-45"/>
        <w:rPr>
          <w:sz w:val="24"/>
          <w:szCs w:val="24"/>
        </w:rPr>
      </w:pPr>
      <w:r w:rsidRPr="00476849">
        <w:rPr>
          <w:b/>
          <w:i/>
          <w:sz w:val="24"/>
          <w:szCs w:val="24"/>
        </w:rPr>
        <w:t>Environment Protection and Biodiversity Conservation Act 1999</w:t>
      </w:r>
    </w:p>
    <w:p w:rsidR="00EC5913" w:rsidRPr="00476849" w:rsidRDefault="00EC5913" w:rsidP="00EC5913">
      <w:pPr>
        <w:spacing w:after="60"/>
        <w:ind w:right="-45"/>
        <w:jc w:val="left"/>
        <w:rPr>
          <w:sz w:val="22"/>
          <w:szCs w:val="22"/>
        </w:rPr>
      </w:pPr>
      <w:r w:rsidRPr="00476849">
        <w:rPr>
          <w:sz w:val="22"/>
          <w:szCs w:val="22"/>
        </w:rPr>
        <w:t>Amendment of List of Exempt Native Specimens – Western Australian Marine Aquarium Fish Managed Fishery (21/12/2012) (deletion) [F2013L00008]</w:t>
      </w:r>
    </w:p>
    <w:p w:rsidR="00EC5913" w:rsidRPr="00476849" w:rsidRDefault="00EC5913" w:rsidP="00EC5913">
      <w:pPr>
        <w:spacing w:after="0"/>
        <w:ind w:right="-46"/>
        <w:jc w:val="left"/>
        <w:rPr>
          <w:sz w:val="22"/>
          <w:szCs w:val="22"/>
        </w:rPr>
      </w:pPr>
      <w:r w:rsidRPr="00476849">
        <w:rPr>
          <w:sz w:val="22"/>
          <w:szCs w:val="22"/>
        </w:rPr>
        <w:t>Amendment of List of Exempt Native Specimens – Western Australian Marine Aquarium Fish Managed Fishery (21/12/2012) (inclusion) [F2013L00007]</w:t>
      </w:r>
    </w:p>
    <w:p w:rsidR="00EC5913" w:rsidRPr="00476849" w:rsidRDefault="00EC5913" w:rsidP="00EC5913">
      <w:pPr>
        <w:spacing w:after="120"/>
        <w:jc w:val="left"/>
        <w:rPr>
          <w:sz w:val="24"/>
          <w:szCs w:val="24"/>
        </w:rPr>
      </w:pPr>
      <w:r>
        <w:rPr>
          <w:b/>
          <w:i/>
          <w:sz w:val="24"/>
          <w:szCs w:val="24"/>
        </w:rPr>
        <w:br w:type="page"/>
      </w:r>
      <w:r w:rsidRPr="00476849">
        <w:rPr>
          <w:b/>
          <w:i/>
          <w:sz w:val="24"/>
          <w:szCs w:val="24"/>
        </w:rPr>
        <w:lastRenderedPageBreak/>
        <w:t>Fair Entitlements Guarantee Act 2012</w:t>
      </w:r>
    </w:p>
    <w:p w:rsidR="00EC5913" w:rsidRPr="00476849" w:rsidRDefault="00EC5913" w:rsidP="00EC5913">
      <w:pPr>
        <w:spacing w:after="0"/>
        <w:ind w:right="-46"/>
        <w:jc w:val="left"/>
        <w:rPr>
          <w:color w:val="000000"/>
          <w:sz w:val="22"/>
          <w:szCs w:val="22"/>
        </w:rPr>
      </w:pPr>
      <w:r w:rsidRPr="00476849">
        <w:rPr>
          <w:color w:val="000000"/>
          <w:sz w:val="22"/>
          <w:szCs w:val="22"/>
        </w:rPr>
        <w:t>Fair Entitlements Guarantee Regulation 2012 [Select Legislative Instrument 2012 No. 326] [F2012L02474]</w:t>
      </w:r>
    </w:p>
    <w:p w:rsidR="00EC5913" w:rsidRPr="00476849" w:rsidRDefault="00EC5913" w:rsidP="00EC5913">
      <w:pPr>
        <w:spacing w:after="0"/>
        <w:ind w:right="-46"/>
        <w:rPr>
          <w:color w:val="000000"/>
          <w:sz w:val="22"/>
          <w:szCs w:val="22"/>
        </w:rPr>
      </w:pPr>
    </w:p>
    <w:p w:rsidR="00EC5913" w:rsidRPr="00476849" w:rsidRDefault="00EC5913" w:rsidP="00EC5913">
      <w:pPr>
        <w:spacing w:after="120"/>
        <w:ind w:right="-45"/>
        <w:rPr>
          <w:sz w:val="24"/>
          <w:szCs w:val="24"/>
        </w:rPr>
      </w:pPr>
      <w:r w:rsidRPr="00476849">
        <w:rPr>
          <w:b/>
          <w:i/>
          <w:sz w:val="24"/>
          <w:szCs w:val="24"/>
        </w:rPr>
        <w:t>Family Law Act 1975</w:t>
      </w:r>
    </w:p>
    <w:p w:rsidR="00EC5913" w:rsidRPr="00476849" w:rsidRDefault="00EC5913" w:rsidP="00EC5913">
      <w:pPr>
        <w:spacing w:after="0"/>
        <w:ind w:right="-46"/>
        <w:jc w:val="left"/>
        <w:rPr>
          <w:sz w:val="22"/>
          <w:szCs w:val="22"/>
        </w:rPr>
      </w:pPr>
      <w:r w:rsidRPr="00476849">
        <w:rPr>
          <w:sz w:val="22"/>
          <w:szCs w:val="22"/>
        </w:rPr>
        <w:t>Family Law Amendment Rules 2012 (No. 2) [Select Legislative Instrument 2012 No. 331] [F2012L02577]</w:t>
      </w:r>
    </w:p>
    <w:p w:rsidR="00EC5913" w:rsidRPr="00476849" w:rsidRDefault="00EC5913" w:rsidP="00EC5913">
      <w:pPr>
        <w:spacing w:after="0"/>
        <w:ind w:right="-46"/>
        <w:rPr>
          <w:sz w:val="22"/>
          <w:szCs w:val="22"/>
        </w:rPr>
      </w:pPr>
    </w:p>
    <w:p w:rsidR="00EC5913" w:rsidRPr="00476849" w:rsidRDefault="00EC5913" w:rsidP="00EC5913">
      <w:pPr>
        <w:spacing w:after="120"/>
        <w:ind w:right="-45"/>
        <w:rPr>
          <w:sz w:val="24"/>
          <w:szCs w:val="24"/>
        </w:rPr>
      </w:pPr>
      <w:r w:rsidRPr="00476849">
        <w:rPr>
          <w:b/>
          <w:i/>
          <w:sz w:val="24"/>
          <w:szCs w:val="24"/>
        </w:rPr>
        <w:t>Financial Sector (Collection of Data) Act 2001</w:t>
      </w:r>
    </w:p>
    <w:p w:rsidR="00EC5913" w:rsidRPr="00461AEB" w:rsidRDefault="00EC5913" w:rsidP="00EC5913">
      <w:pPr>
        <w:spacing w:after="60"/>
        <w:ind w:right="-45"/>
        <w:jc w:val="left"/>
        <w:rPr>
          <w:color w:val="000000"/>
          <w:sz w:val="22"/>
          <w:szCs w:val="22"/>
        </w:rPr>
      </w:pPr>
      <w:r w:rsidRPr="00461AEB">
        <w:rPr>
          <w:color w:val="000000"/>
          <w:sz w:val="22"/>
          <w:szCs w:val="22"/>
        </w:rPr>
        <w:t>Financial Sector (Collection of Data) (reporting standard) determination No. 8 of 2012 - ARS 112.2 - Standardised Credit Risk - Off-balance Sheet Exposures [F2012L02498]</w:t>
      </w:r>
    </w:p>
    <w:p w:rsidR="00EC5913" w:rsidRPr="00461AEB" w:rsidRDefault="00EC5913" w:rsidP="00EC5913">
      <w:pPr>
        <w:spacing w:after="60"/>
        <w:ind w:right="-45"/>
        <w:jc w:val="left"/>
        <w:rPr>
          <w:color w:val="000000"/>
          <w:sz w:val="22"/>
          <w:szCs w:val="22"/>
        </w:rPr>
      </w:pPr>
      <w:r w:rsidRPr="00461AEB">
        <w:rPr>
          <w:color w:val="000000"/>
          <w:sz w:val="22"/>
          <w:szCs w:val="22"/>
        </w:rPr>
        <w:t>Financial Sector (Collection of Data) (reporting standard) determination No. 9 of 2012 - ARS 113.4 - Internal Ratings-based (IRB) Approach to Credit Risk - Other Assets, Claims and Exposures [F2012L02487]</w:t>
      </w:r>
    </w:p>
    <w:p w:rsidR="00EC5913" w:rsidRPr="00461AEB" w:rsidRDefault="00EC5913" w:rsidP="00EC5913">
      <w:pPr>
        <w:spacing w:after="60"/>
        <w:ind w:right="-45"/>
        <w:jc w:val="left"/>
        <w:rPr>
          <w:color w:val="000000"/>
          <w:sz w:val="22"/>
          <w:szCs w:val="22"/>
        </w:rPr>
      </w:pPr>
      <w:r w:rsidRPr="00461AEB">
        <w:rPr>
          <w:color w:val="000000"/>
          <w:sz w:val="22"/>
          <w:szCs w:val="22"/>
        </w:rPr>
        <w:t>Financial Sector (Collection of Data) (reporting standard) determination No. 10 of 2012 - ARS 116.0 - Market Risk [F2012L02488]</w:t>
      </w:r>
    </w:p>
    <w:p w:rsidR="00EC5913" w:rsidRPr="00461AEB" w:rsidRDefault="00EC5913" w:rsidP="00EC5913">
      <w:pPr>
        <w:spacing w:after="60"/>
        <w:ind w:right="-45"/>
        <w:jc w:val="left"/>
        <w:rPr>
          <w:color w:val="000000"/>
          <w:sz w:val="22"/>
          <w:szCs w:val="22"/>
        </w:rPr>
      </w:pPr>
      <w:r w:rsidRPr="00461AEB">
        <w:rPr>
          <w:color w:val="000000"/>
          <w:sz w:val="22"/>
          <w:szCs w:val="22"/>
        </w:rPr>
        <w:t>Financial Sector (Collection of Data) (reporting standard) determination No. 11 of 2012 - ARS 117.0 - Repricing Analysis [F2012L02490]</w:t>
      </w:r>
    </w:p>
    <w:p w:rsidR="00EC5913" w:rsidRPr="00461AEB" w:rsidRDefault="00EC5913" w:rsidP="00EC5913">
      <w:pPr>
        <w:spacing w:after="60"/>
        <w:ind w:right="-45"/>
        <w:jc w:val="left"/>
        <w:rPr>
          <w:color w:val="000000"/>
          <w:sz w:val="22"/>
          <w:szCs w:val="22"/>
        </w:rPr>
      </w:pPr>
      <w:r w:rsidRPr="00461AEB">
        <w:rPr>
          <w:color w:val="000000"/>
          <w:sz w:val="22"/>
          <w:szCs w:val="22"/>
        </w:rPr>
        <w:t>Financial Sector (Collection of Data) (reporting standard) determination No. 12 of 2012 - ARS 120.0 - Standardised Approach – Securitisation [F2012L02489]</w:t>
      </w:r>
    </w:p>
    <w:p w:rsidR="00EC5913" w:rsidRPr="00461AEB" w:rsidRDefault="00EC5913" w:rsidP="00EC5913">
      <w:pPr>
        <w:spacing w:after="0"/>
        <w:ind w:right="-46"/>
        <w:jc w:val="left"/>
        <w:rPr>
          <w:color w:val="000000"/>
          <w:sz w:val="22"/>
          <w:szCs w:val="22"/>
        </w:rPr>
      </w:pPr>
      <w:r w:rsidRPr="00461AEB">
        <w:rPr>
          <w:color w:val="000000"/>
          <w:sz w:val="22"/>
          <w:szCs w:val="22"/>
        </w:rPr>
        <w:t>Financial Sector (Collection of Data) (reporting standard) determination No. 13 of 2012 - ARS 120.1 - Internal Ratings-based (IRB) Approach – Securitisation [F2012L02491]</w:t>
      </w:r>
    </w:p>
    <w:p w:rsidR="00EC5913" w:rsidRPr="00461AEB" w:rsidRDefault="00EC5913" w:rsidP="00EC5913">
      <w:pPr>
        <w:spacing w:after="0"/>
        <w:ind w:right="-46"/>
        <w:rPr>
          <w:color w:val="000000"/>
          <w:sz w:val="22"/>
          <w:szCs w:val="22"/>
        </w:rPr>
      </w:pPr>
    </w:p>
    <w:p w:rsidR="00EC5913" w:rsidRPr="00461AEB" w:rsidRDefault="00EC5913" w:rsidP="00EC5913">
      <w:pPr>
        <w:spacing w:after="120"/>
        <w:ind w:right="-45"/>
        <w:rPr>
          <w:sz w:val="24"/>
          <w:szCs w:val="24"/>
        </w:rPr>
      </w:pPr>
      <w:r w:rsidRPr="00461AEB">
        <w:rPr>
          <w:b/>
          <w:i/>
          <w:sz w:val="24"/>
          <w:szCs w:val="24"/>
        </w:rPr>
        <w:t>Fisheries Management Act 1991</w:t>
      </w:r>
    </w:p>
    <w:p w:rsidR="00EC5913" w:rsidRPr="00461AEB" w:rsidRDefault="00EC5913" w:rsidP="00EC5913">
      <w:pPr>
        <w:spacing w:after="0"/>
        <w:ind w:right="-46"/>
        <w:jc w:val="left"/>
        <w:rPr>
          <w:sz w:val="22"/>
          <w:szCs w:val="22"/>
        </w:rPr>
      </w:pPr>
      <w:r w:rsidRPr="00461AEB">
        <w:rPr>
          <w:sz w:val="22"/>
          <w:szCs w:val="22"/>
        </w:rPr>
        <w:t>Southern Bluefin Tuna Fishery Verified Count Determination 2012 [F2012L02590]</w:t>
      </w:r>
    </w:p>
    <w:p w:rsidR="00EC5913" w:rsidRPr="00461AEB" w:rsidRDefault="00EC5913" w:rsidP="00EC5913">
      <w:pPr>
        <w:spacing w:after="0"/>
        <w:ind w:right="-46"/>
        <w:rPr>
          <w:sz w:val="22"/>
          <w:szCs w:val="22"/>
        </w:rPr>
      </w:pPr>
    </w:p>
    <w:p w:rsidR="00EC5913" w:rsidRPr="00461AEB" w:rsidRDefault="00EC5913" w:rsidP="00EC5913">
      <w:pPr>
        <w:spacing w:after="120"/>
        <w:ind w:right="-45"/>
        <w:rPr>
          <w:sz w:val="24"/>
          <w:szCs w:val="24"/>
        </w:rPr>
      </w:pPr>
      <w:r w:rsidRPr="00461AEB">
        <w:rPr>
          <w:b/>
          <w:i/>
          <w:sz w:val="24"/>
          <w:szCs w:val="24"/>
        </w:rPr>
        <w:t>Health Insurance Act 1973</w:t>
      </w:r>
    </w:p>
    <w:p w:rsidR="00EC5913" w:rsidRPr="00461AEB" w:rsidRDefault="00EC5913" w:rsidP="00EC5913">
      <w:pPr>
        <w:spacing w:after="60"/>
        <w:ind w:right="-45"/>
        <w:jc w:val="left"/>
        <w:rPr>
          <w:color w:val="000000"/>
          <w:sz w:val="22"/>
          <w:szCs w:val="22"/>
        </w:rPr>
      </w:pPr>
      <w:r w:rsidRPr="00461AEB">
        <w:rPr>
          <w:color w:val="000000"/>
          <w:sz w:val="22"/>
          <w:szCs w:val="22"/>
        </w:rPr>
        <w:t>Health Insurance (Allied Health Services) Amendment Determination 2012 (No. 5) [F2012L02493]</w:t>
      </w:r>
    </w:p>
    <w:p w:rsidR="00EC5913" w:rsidRPr="00461AEB" w:rsidRDefault="00EC5913" w:rsidP="00EC5913">
      <w:pPr>
        <w:spacing w:after="60"/>
        <w:ind w:right="-45"/>
        <w:jc w:val="left"/>
        <w:rPr>
          <w:color w:val="000000"/>
          <w:sz w:val="22"/>
          <w:szCs w:val="22"/>
        </w:rPr>
      </w:pPr>
      <w:r w:rsidRPr="00461AEB">
        <w:rPr>
          <w:color w:val="000000"/>
          <w:sz w:val="22"/>
          <w:szCs w:val="22"/>
        </w:rPr>
        <w:t>Health Insurance (Diabetes Testing in Aboriginal and Torres Strait Islander Primary Health Care Sites) Amendment Determination 2012 (No. 1) [F2012L02513]</w:t>
      </w:r>
    </w:p>
    <w:p w:rsidR="00EC5913" w:rsidRPr="00461AEB" w:rsidRDefault="00EC5913" w:rsidP="00EC5913">
      <w:pPr>
        <w:spacing w:after="60"/>
        <w:ind w:right="-45"/>
        <w:jc w:val="left"/>
        <w:rPr>
          <w:color w:val="000000"/>
          <w:sz w:val="22"/>
          <w:szCs w:val="22"/>
        </w:rPr>
      </w:pPr>
      <w:r w:rsidRPr="00461AEB">
        <w:rPr>
          <w:color w:val="000000"/>
          <w:sz w:val="22"/>
          <w:szCs w:val="22"/>
        </w:rPr>
        <w:t>Health Insurance (Diagnostic Imaging Capital Sensitivity) Amendment Determination 2012 (No. 3) [F2012L02510]</w:t>
      </w:r>
    </w:p>
    <w:p w:rsidR="00EC5913" w:rsidRPr="00461AEB" w:rsidRDefault="00EC5913" w:rsidP="00EC5913">
      <w:pPr>
        <w:spacing w:after="60"/>
        <w:ind w:right="-45"/>
        <w:jc w:val="left"/>
        <w:rPr>
          <w:color w:val="000000"/>
          <w:sz w:val="22"/>
          <w:szCs w:val="22"/>
        </w:rPr>
      </w:pPr>
      <w:r w:rsidRPr="00461AEB">
        <w:rPr>
          <w:color w:val="000000"/>
          <w:sz w:val="22"/>
          <w:szCs w:val="22"/>
        </w:rPr>
        <w:t>Health Insurance (Midwife and Nurse Practitioner) Amendment Determination 2012 (No. 2) [F2012L02507]</w:t>
      </w:r>
    </w:p>
    <w:p w:rsidR="00EC5913" w:rsidRPr="00461AEB" w:rsidRDefault="00EC5913" w:rsidP="00EC5913">
      <w:pPr>
        <w:spacing w:after="60"/>
        <w:ind w:right="-45"/>
        <w:jc w:val="left"/>
        <w:rPr>
          <w:color w:val="000000"/>
          <w:sz w:val="22"/>
          <w:szCs w:val="22"/>
        </w:rPr>
      </w:pPr>
      <w:r w:rsidRPr="00461AEB">
        <w:rPr>
          <w:color w:val="000000"/>
          <w:sz w:val="22"/>
          <w:szCs w:val="22"/>
        </w:rPr>
        <w:t>Health Insurance (Pathologist-determinable Services) Amendment Determination 2012 [F2012L02532]</w:t>
      </w:r>
    </w:p>
    <w:p w:rsidR="00EC5913" w:rsidRPr="00461AEB" w:rsidRDefault="00EC5913" w:rsidP="00EC5913">
      <w:pPr>
        <w:spacing w:after="0"/>
        <w:ind w:right="-46"/>
        <w:jc w:val="left"/>
        <w:rPr>
          <w:color w:val="000000"/>
          <w:sz w:val="22"/>
          <w:szCs w:val="22"/>
        </w:rPr>
      </w:pPr>
      <w:r w:rsidRPr="00461AEB">
        <w:rPr>
          <w:color w:val="000000"/>
          <w:sz w:val="22"/>
          <w:szCs w:val="22"/>
        </w:rPr>
        <w:t>Health Insurance (Professional Services Review - Allied Health and Others) Determination 2012 [F2012L02519]</w:t>
      </w:r>
    </w:p>
    <w:p w:rsidR="00EC5913" w:rsidRPr="00461AEB" w:rsidRDefault="00EC5913" w:rsidP="00EC5913">
      <w:pPr>
        <w:spacing w:after="0"/>
        <w:ind w:right="-46"/>
        <w:rPr>
          <w:color w:val="000000"/>
          <w:sz w:val="22"/>
          <w:szCs w:val="22"/>
        </w:rPr>
      </w:pPr>
    </w:p>
    <w:p w:rsidR="00EC5913" w:rsidRPr="0085312A" w:rsidRDefault="00EC5913" w:rsidP="00EC5913">
      <w:pPr>
        <w:spacing w:after="120"/>
        <w:ind w:right="-45"/>
      </w:pPr>
      <w:r w:rsidRPr="00F5071E">
        <w:rPr>
          <w:b/>
          <w:i/>
        </w:rPr>
        <w:t>Higher Education Support 2003</w:t>
      </w:r>
    </w:p>
    <w:p w:rsidR="00EC5913" w:rsidRPr="00461AEB" w:rsidRDefault="00EC5913" w:rsidP="00EC5913">
      <w:pPr>
        <w:spacing w:after="60"/>
        <w:ind w:right="-45"/>
        <w:jc w:val="left"/>
        <w:rPr>
          <w:color w:val="000000"/>
          <w:sz w:val="22"/>
          <w:szCs w:val="22"/>
        </w:rPr>
      </w:pPr>
      <w:r w:rsidRPr="00461AEB">
        <w:rPr>
          <w:color w:val="000000"/>
          <w:sz w:val="22"/>
          <w:szCs w:val="22"/>
        </w:rPr>
        <w:t>Commonwealth Scholarships Guidelines (Research) 2012 [F2012L02535</w:t>
      </w:r>
    </w:p>
    <w:p w:rsidR="00EC5913" w:rsidRPr="00461AEB" w:rsidRDefault="00EC5913" w:rsidP="00EC5913">
      <w:pPr>
        <w:spacing w:after="60"/>
        <w:ind w:right="-45"/>
        <w:jc w:val="left"/>
        <w:rPr>
          <w:color w:val="000000"/>
          <w:sz w:val="22"/>
          <w:szCs w:val="22"/>
        </w:rPr>
      </w:pPr>
      <w:r w:rsidRPr="00461AEB">
        <w:rPr>
          <w:color w:val="000000"/>
          <w:sz w:val="22"/>
          <w:szCs w:val="22"/>
        </w:rPr>
        <w:t>Higher Education (Maximum Amount for Special Purpose Advances) Specification 2012 [F2012L02476]</w:t>
      </w:r>
    </w:p>
    <w:p w:rsidR="00EC5913" w:rsidRPr="00461AEB" w:rsidRDefault="00EC5913" w:rsidP="00EC5913">
      <w:pPr>
        <w:spacing w:after="60"/>
        <w:ind w:right="-45"/>
        <w:jc w:val="left"/>
        <w:rPr>
          <w:color w:val="000000"/>
          <w:sz w:val="22"/>
          <w:szCs w:val="22"/>
        </w:rPr>
      </w:pPr>
      <w:r w:rsidRPr="00461AEB">
        <w:rPr>
          <w:color w:val="000000"/>
          <w:sz w:val="22"/>
          <w:szCs w:val="22"/>
        </w:rPr>
        <w:t>Higher Education Provider Approval No. 14 of 2012 [F2012L02517]</w:t>
      </w:r>
    </w:p>
    <w:p w:rsidR="00EC5913" w:rsidRPr="00461AEB" w:rsidRDefault="00EC5913" w:rsidP="00EC5913">
      <w:pPr>
        <w:spacing w:after="60"/>
        <w:ind w:right="-45"/>
        <w:jc w:val="left"/>
        <w:rPr>
          <w:color w:val="000000"/>
          <w:sz w:val="22"/>
          <w:szCs w:val="22"/>
        </w:rPr>
      </w:pPr>
      <w:r w:rsidRPr="00461AEB">
        <w:rPr>
          <w:color w:val="000000"/>
          <w:sz w:val="22"/>
          <w:szCs w:val="22"/>
        </w:rPr>
        <w:t>Higher Education Support Act 2003 - List prepared pursuant to Division 41 [F2012L02514]</w:t>
      </w:r>
    </w:p>
    <w:p w:rsidR="00EC5913" w:rsidRPr="00461AEB" w:rsidRDefault="00EC5913" w:rsidP="00EC5913">
      <w:pPr>
        <w:spacing w:after="60"/>
        <w:ind w:right="-45"/>
        <w:jc w:val="left"/>
        <w:rPr>
          <w:color w:val="000000"/>
          <w:sz w:val="22"/>
          <w:szCs w:val="22"/>
        </w:rPr>
      </w:pPr>
      <w:r w:rsidRPr="00461AEB">
        <w:rPr>
          <w:color w:val="000000"/>
          <w:sz w:val="22"/>
          <w:szCs w:val="22"/>
        </w:rPr>
        <w:t>Higher Education Support Act 2003 – Other Grants Guidelines (Education) 2012 (DIISRTE) – Amendment No. 1 [F2012L02587]</w:t>
      </w:r>
    </w:p>
    <w:p w:rsidR="00EC5913" w:rsidRPr="00461AEB" w:rsidRDefault="00EC5913" w:rsidP="00EC5913">
      <w:pPr>
        <w:spacing w:after="60"/>
        <w:ind w:right="-45"/>
        <w:jc w:val="left"/>
        <w:rPr>
          <w:color w:val="000000"/>
          <w:sz w:val="22"/>
          <w:szCs w:val="22"/>
        </w:rPr>
      </w:pPr>
      <w:r w:rsidRPr="00461AEB">
        <w:rPr>
          <w:color w:val="000000"/>
          <w:sz w:val="22"/>
          <w:szCs w:val="22"/>
        </w:rPr>
        <w:t>Higher Education Support Act 2003 - VET Guidelines [F2012L02569]</w:t>
      </w:r>
    </w:p>
    <w:p w:rsidR="00EC5913" w:rsidRPr="00461AEB" w:rsidRDefault="00EC5913" w:rsidP="00EC5913">
      <w:pPr>
        <w:spacing w:after="60"/>
        <w:ind w:right="-45"/>
        <w:jc w:val="left"/>
        <w:rPr>
          <w:color w:val="000000"/>
          <w:sz w:val="22"/>
          <w:szCs w:val="22"/>
        </w:rPr>
      </w:pPr>
      <w:r w:rsidRPr="00461AEB">
        <w:rPr>
          <w:color w:val="000000"/>
          <w:sz w:val="22"/>
          <w:szCs w:val="22"/>
        </w:rPr>
        <w:lastRenderedPageBreak/>
        <w:t>Higher Education Support Act 2003 - VET Provider Approval (No. 27 of 2012) [F2012L02516]</w:t>
      </w:r>
    </w:p>
    <w:p w:rsidR="00EC5913" w:rsidRPr="00461AEB" w:rsidRDefault="00EC5913" w:rsidP="00EC5913">
      <w:pPr>
        <w:spacing w:after="60"/>
        <w:ind w:right="-45"/>
        <w:jc w:val="left"/>
        <w:rPr>
          <w:color w:val="000000"/>
          <w:sz w:val="22"/>
          <w:szCs w:val="22"/>
        </w:rPr>
      </w:pPr>
      <w:r w:rsidRPr="00461AEB">
        <w:rPr>
          <w:color w:val="000000"/>
          <w:sz w:val="22"/>
          <w:szCs w:val="22"/>
        </w:rPr>
        <w:t>Higher Education Support Act 2003 - VET Provider Approval (No. 28 of 2012) [F2012L02557]</w:t>
      </w:r>
    </w:p>
    <w:p w:rsidR="00EC5913" w:rsidRPr="00461AEB" w:rsidRDefault="00EC5913" w:rsidP="00EC5913">
      <w:pPr>
        <w:spacing w:after="0"/>
        <w:ind w:right="-46"/>
        <w:jc w:val="left"/>
        <w:rPr>
          <w:color w:val="000000"/>
          <w:sz w:val="22"/>
          <w:szCs w:val="22"/>
        </w:rPr>
      </w:pPr>
      <w:r w:rsidRPr="00461AEB">
        <w:rPr>
          <w:color w:val="000000"/>
          <w:sz w:val="22"/>
          <w:szCs w:val="22"/>
        </w:rPr>
        <w:t>Higher Education Support Act 2003 - VET Provider Approval (No. 1 of 2013) [F2013L00032]</w:t>
      </w:r>
    </w:p>
    <w:p w:rsidR="00EC5913" w:rsidRPr="00461AEB" w:rsidRDefault="00EC5913" w:rsidP="00EC5913">
      <w:pPr>
        <w:spacing w:after="0"/>
        <w:ind w:right="-46"/>
        <w:rPr>
          <w:sz w:val="22"/>
          <w:szCs w:val="22"/>
        </w:rPr>
      </w:pPr>
    </w:p>
    <w:p w:rsidR="00EC5913" w:rsidRPr="00461AEB" w:rsidRDefault="00EC5913" w:rsidP="00EC5913">
      <w:pPr>
        <w:spacing w:after="120"/>
        <w:ind w:right="-45"/>
        <w:rPr>
          <w:sz w:val="24"/>
          <w:szCs w:val="24"/>
        </w:rPr>
      </w:pPr>
      <w:r w:rsidRPr="00461AEB">
        <w:rPr>
          <w:b/>
          <w:i/>
          <w:sz w:val="24"/>
          <w:szCs w:val="24"/>
        </w:rPr>
        <w:t>Horticultural Marketing and Research and Development Services Act 2000</w:t>
      </w:r>
    </w:p>
    <w:p w:rsidR="00EC5913" w:rsidRPr="00461AEB" w:rsidRDefault="00EC5913" w:rsidP="00EC5913">
      <w:pPr>
        <w:spacing w:after="0"/>
        <w:ind w:right="-46"/>
        <w:jc w:val="left"/>
        <w:rPr>
          <w:sz w:val="22"/>
          <w:szCs w:val="22"/>
        </w:rPr>
      </w:pPr>
      <w:r w:rsidRPr="00461AEB">
        <w:rPr>
          <w:sz w:val="22"/>
          <w:szCs w:val="22"/>
        </w:rPr>
        <w:t>Horticulture Marketing and Research and Development Services Export Orders Revocation Order 2013 [F2013L00028]</w:t>
      </w:r>
    </w:p>
    <w:p w:rsidR="00EC5913" w:rsidRPr="00461AEB" w:rsidRDefault="00EC5913" w:rsidP="00EC5913">
      <w:pPr>
        <w:spacing w:after="0"/>
        <w:ind w:right="-46"/>
        <w:rPr>
          <w:sz w:val="22"/>
          <w:szCs w:val="22"/>
        </w:rPr>
      </w:pPr>
    </w:p>
    <w:p w:rsidR="00EC5913" w:rsidRPr="00461AEB" w:rsidRDefault="00EC5913" w:rsidP="00EC5913">
      <w:pPr>
        <w:spacing w:after="120"/>
        <w:ind w:right="-45"/>
        <w:rPr>
          <w:sz w:val="24"/>
          <w:szCs w:val="24"/>
        </w:rPr>
      </w:pPr>
      <w:r w:rsidRPr="00461AEB">
        <w:rPr>
          <w:b/>
          <w:i/>
          <w:sz w:val="24"/>
          <w:szCs w:val="24"/>
        </w:rPr>
        <w:t>Life Insurance Act 1995</w:t>
      </w:r>
    </w:p>
    <w:p w:rsidR="00EC5913" w:rsidRPr="00461AEB" w:rsidRDefault="00EC5913" w:rsidP="00EC5913">
      <w:pPr>
        <w:spacing w:after="60"/>
        <w:ind w:right="-45"/>
        <w:jc w:val="left"/>
        <w:rPr>
          <w:color w:val="000000"/>
          <w:sz w:val="22"/>
          <w:szCs w:val="22"/>
        </w:rPr>
      </w:pPr>
      <w:r w:rsidRPr="00461AEB">
        <w:rPr>
          <w:color w:val="000000"/>
          <w:sz w:val="22"/>
          <w:szCs w:val="22"/>
        </w:rPr>
        <w:t>Life Insurance (prudential standard) determination No. 11 of 2012 - Prudential Standard LPS 320 - Actuarial and Related Matters [F2012L02496]</w:t>
      </w:r>
    </w:p>
    <w:p w:rsidR="00EC5913" w:rsidRPr="00461AEB" w:rsidRDefault="00EC5913" w:rsidP="00EC5913">
      <w:pPr>
        <w:spacing w:after="0"/>
        <w:ind w:right="-46"/>
        <w:jc w:val="left"/>
        <w:rPr>
          <w:color w:val="000000"/>
          <w:sz w:val="22"/>
          <w:szCs w:val="22"/>
        </w:rPr>
      </w:pPr>
      <w:r w:rsidRPr="00461AEB">
        <w:rPr>
          <w:color w:val="000000"/>
          <w:sz w:val="22"/>
          <w:szCs w:val="22"/>
        </w:rPr>
        <w:t>Life Insurance (prudential standard) determination No. 15 of 2012 - Prudential Standard LPS 600 - Statutory Funds [F2012L02481]</w:t>
      </w:r>
    </w:p>
    <w:p w:rsidR="00EC5913" w:rsidRPr="00461AEB" w:rsidRDefault="00EC5913" w:rsidP="00EC5913">
      <w:pPr>
        <w:spacing w:after="0"/>
        <w:ind w:right="-46"/>
        <w:rPr>
          <w:color w:val="000000"/>
          <w:sz w:val="22"/>
          <w:szCs w:val="22"/>
        </w:rPr>
      </w:pPr>
    </w:p>
    <w:p w:rsidR="00EC5913" w:rsidRPr="00461AEB" w:rsidRDefault="00EC5913" w:rsidP="00EC5913">
      <w:pPr>
        <w:spacing w:after="120"/>
        <w:ind w:right="-45"/>
        <w:rPr>
          <w:sz w:val="24"/>
          <w:szCs w:val="24"/>
        </w:rPr>
      </w:pPr>
      <w:r w:rsidRPr="00461AEB">
        <w:rPr>
          <w:b/>
          <w:i/>
          <w:sz w:val="24"/>
          <w:szCs w:val="24"/>
        </w:rPr>
        <w:t>Motor Vehicle Standards Act 1989</w:t>
      </w:r>
    </w:p>
    <w:p w:rsidR="00EC5913" w:rsidRPr="00461AEB" w:rsidRDefault="00EC5913" w:rsidP="00EC5913">
      <w:pPr>
        <w:spacing w:after="0"/>
        <w:ind w:right="-46"/>
        <w:jc w:val="left"/>
        <w:rPr>
          <w:sz w:val="22"/>
          <w:szCs w:val="22"/>
        </w:rPr>
      </w:pPr>
      <w:r w:rsidRPr="00461AEB">
        <w:rPr>
          <w:sz w:val="22"/>
          <w:szCs w:val="22"/>
        </w:rPr>
        <w:t>Vehicle Standard (Australian Design Rule 80/03 – Emission Control for Heavy Vehicles) 2006 Amendment 2 [F2013L00034]</w:t>
      </w:r>
    </w:p>
    <w:p w:rsidR="00EC5913" w:rsidRPr="00461AEB" w:rsidRDefault="00EC5913" w:rsidP="00EC5913">
      <w:pPr>
        <w:spacing w:after="0"/>
        <w:ind w:right="-46"/>
        <w:rPr>
          <w:sz w:val="22"/>
          <w:szCs w:val="22"/>
        </w:rPr>
      </w:pPr>
    </w:p>
    <w:p w:rsidR="00EC5913" w:rsidRPr="0085312A" w:rsidRDefault="00EC5913" w:rsidP="00EC5913">
      <w:pPr>
        <w:spacing w:after="120"/>
        <w:ind w:right="-45"/>
      </w:pPr>
      <w:r w:rsidRPr="00F5071E">
        <w:rPr>
          <w:b/>
          <w:i/>
        </w:rPr>
        <w:t>National Health Act 1953</w:t>
      </w:r>
    </w:p>
    <w:p w:rsidR="00EC5913" w:rsidRPr="00461AEB" w:rsidRDefault="00EC5913" w:rsidP="00EC5913">
      <w:pPr>
        <w:spacing w:after="60"/>
        <w:ind w:right="-45"/>
        <w:jc w:val="left"/>
        <w:rPr>
          <w:color w:val="000000"/>
          <w:sz w:val="22"/>
          <w:szCs w:val="22"/>
        </w:rPr>
      </w:pPr>
      <w:proofErr w:type="gramStart"/>
      <w:r w:rsidRPr="00461AEB">
        <w:rPr>
          <w:color w:val="000000"/>
          <w:sz w:val="22"/>
          <w:szCs w:val="22"/>
        </w:rPr>
        <w:t xml:space="preserve">National Health (Concession or entitlement card fee Amendment Determination 2012 (No. 1) </w:t>
      </w:r>
      <w:r>
        <w:rPr>
          <w:color w:val="000000"/>
          <w:sz w:val="22"/>
          <w:szCs w:val="22"/>
        </w:rPr>
        <w:br/>
      </w:r>
      <w:r w:rsidRPr="00461AEB">
        <w:rPr>
          <w:color w:val="000000"/>
          <w:sz w:val="22"/>
          <w:szCs w:val="22"/>
        </w:rPr>
        <w:t>(No.</w:t>
      </w:r>
      <w:proofErr w:type="gramEnd"/>
      <w:r w:rsidRPr="00461AEB">
        <w:rPr>
          <w:color w:val="000000"/>
          <w:sz w:val="22"/>
          <w:szCs w:val="22"/>
        </w:rPr>
        <w:t xml:space="preserve"> PB 112 of 2012) [F2012L02500]</w:t>
      </w:r>
    </w:p>
    <w:p w:rsidR="00EC5913" w:rsidRPr="00461AEB" w:rsidRDefault="00EC5913" w:rsidP="00EC5913">
      <w:pPr>
        <w:spacing w:after="60"/>
        <w:ind w:right="-45"/>
        <w:jc w:val="left"/>
        <w:rPr>
          <w:color w:val="000000"/>
          <w:sz w:val="22"/>
          <w:szCs w:val="22"/>
        </w:rPr>
      </w:pPr>
      <w:r w:rsidRPr="00461AEB">
        <w:rPr>
          <w:color w:val="000000"/>
          <w:sz w:val="22"/>
          <w:szCs w:val="22"/>
        </w:rPr>
        <w:t>National Health (Highly specialised drugs program for hospitals) Special Arrangement Amendment Instrument 2012 (No. 11) (No. PB 110 of 2012) [F2012L02508]</w:t>
      </w:r>
    </w:p>
    <w:p w:rsidR="00EC5913" w:rsidRPr="00461AEB" w:rsidRDefault="00EC5913" w:rsidP="00EC5913">
      <w:pPr>
        <w:spacing w:after="60"/>
        <w:ind w:right="-45"/>
        <w:jc w:val="left"/>
        <w:rPr>
          <w:color w:val="000000"/>
          <w:sz w:val="22"/>
          <w:szCs w:val="22"/>
        </w:rPr>
      </w:pPr>
      <w:r w:rsidRPr="00461AEB">
        <w:rPr>
          <w:color w:val="000000"/>
          <w:sz w:val="22"/>
          <w:szCs w:val="22"/>
        </w:rPr>
        <w:t>National Health (Immunisation Program – Designated Vaccines) Var</w:t>
      </w:r>
      <w:r>
        <w:rPr>
          <w:color w:val="000000"/>
          <w:sz w:val="22"/>
          <w:szCs w:val="22"/>
        </w:rPr>
        <w:t xml:space="preserve">iation </w:t>
      </w:r>
      <w:proofErr w:type="gramStart"/>
      <w:r>
        <w:rPr>
          <w:color w:val="000000"/>
          <w:sz w:val="22"/>
          <w:szCs w:val="22"/>
        </w:rPr>
        <w:t>Determination  2012</w:t>
      </w:r>
      <w:proofErr w:type="gramEnd"/>
      <w:r>
        <w:rPr>
          <w:color w:val="000000"/>
          <w:sz w:val="22"/>
          <w:szCs w:val="22"/>
        </w:rPr>
        <w:t xml:space="preserve"> (No. </w:t>
      </w:r>
      <w:r w:rsidRPr="00461AEB">
        <w:rPr>
          <w:color w:val="000000"/>
          <w:sz w:val="22"/>
          <w:szCs w:val="22"/>
        </w:rPr>
        <w:t>3) [F2013L00031]</w:t>
      </w:r>
    </w:p>
    <w:p w:rsidR="00EC5913" w:rsidRPr="00461AEB" w:rsidRDefault="00EC5913" w:rsidP="00EC5913">
      <w:pPr>
        <w:spacing w:after="60"/>
        <w:ind w:right="-45"/>
        <w:jc w:val="left"/>
        <w:rPr>
          <w:color w:val="000000"/>
          <w:sz w:val="22"/>
          <w:szCs w:val="22"/>
        </w:rPr>
      </w:pPr>
      <w:proofErr w:type="gramStart"/>
      <w:r w:rsidRPr="00461AEB">
        <w:rPr>
          <w:color w:val="000000"/>
          <w:sz w:val="22"/>
          <w:szCs w:val="22"/>
        </w:rPr>
        <w:t xml:space="preserve">National Health (Listing of Pharmaceutical Benefits) Amendment Instrument 2012 (No. 9) </w:t>
      </w:r>
      <w:r>
        <w:rPr>
          <w:color w:val="000000"/>
          <w:sz w:val="22"/>
          <w:szCs w:val="22"/>
        </w:rPr>
        <w:br/>
      </w:r>
      <w:r w:rsidRPr="00461AEB">
        <w:rPr>
          <w:color w:val="000000"/>
          <w:sz w:val="22"/>
          <w:szCs w:val="22"/>
        </w:rPr>
        <w:t>(No.</w:t>
      </w:r>
      <w:proofErr w:type="gramEnd"/>
      <w:r w:rsidRPr="00461AEB">
        <w:rPr>
          <w:color w:val="000000"/>
          <w:sz w:val="22"/>
          <w:szCs w:val="22"/>
        </w:rPr>
        <w:t xml:space="preserve"> PB 108 of 2012) [F2012L02512]</w:t>
      </w:r>
    </w:p>
    <w:p w:rsidR="00EC5913" w:rsidRPr="00461AEB" w:rsidRDefault="00EC5913" w:rsidP="00EC5913">
      <w:pPr>
        <w:spacing w:after="60"/>
        <w:ind w:right="-45"/>
        <w:jc w:val="left"/>
        <w:rPr>
          <w:color w:val="000000"/>
          <w:sz w:val="22"/>
          <w:szCs w:val="22"/>
        </w:rPr>
      </w:pPr>
      <w:proofErr w:type="gramStart"/>
      <w:r w:rsidRPr="00461AEB">
        <w:rPr>
          <w:color w:val="000000"/>
          <w:sz w:val="22"/>
          <w:szCs w:val="22"/>
        </w:rPr>
        <w:t>National Health (Listing of Pharmaceutical Benefits) Amendment Instrument 2013 (No.1) (No.</w:t>
      </w:r>
      <w:proofErr w:type="gramEnd"/>
      <w:r w:rsidRPr="00461AEB">
        <w:rPr>
          <w:color w:val="000000"/>
          <w:sz w:val="22"/>
          <w:szCs w:val="22"/>
        </w:rPr>
        <w:t xml:space="preserve"> PB 1 of 2013) [F2013L00039]</w:t>
      </w:r>
    </w:p>
    <w:p w:rsidR="00EC5913" w:rsidRPr="00461AEB" w:rsidRDefault="00EC5913" w:rsidP="00EC5913">
      <w:pPr>
        <w:spacing w:after="60"/>
        <w:ind w:right="-45"/>
        <w:jc w:val="left"/>
        <w:rPr>
          <w:color w:val="000000"/>
          <w:sz w:val="22"/>
          <w:szCs w:val="22"/>
        </w:rPr>
      </w:pPr>
      <w:proofErr w:type="gramStart"/>
      <w:r w:rsidRPr="00461AEB">
        <w:rPr>
          <w:color w:val="000000"/>
          <w:sz w:val="22"/>
          <w:szCs w:val="22"/>
        </w:rPr>
        <w:t>National Health (Price and Special Patient Contribution) Amendment Determination 2012 (No. 8) (No.</w:t>
      </w:r>
      <w:proofErr w:type="gramEnd"/>
      <w:r w:rsidRPr="00461AEB">
        <w:rPr>
          <w:color w:val="000000"/>
          <w:sz w:val="22"/>
          <w:szCs w:val="22"/>
        </w:rPr>
        <w:t xml:space="preserve"> PB 109 of 2012) [F2012L02511]</w:t>
      </w:r>
    </w:p>
    <w:p w:rsidR="00EC5913" w:rsidRPr="00461AEB" w:rsidRDefault="00EC5913" w:rsidP="00EC5913">
      <w:pPr>
        <w:spacing w:after="60"/>
        <w:ind w:right="-45"/>
        <w:jc w:val="left"/>
        <w:rPr>
          <w:color w:val="000000"/>
          <w:sz w:val="22"/>
          <w:szCs w:val="22"/>
        </w:rPr>
      </w:pPr>
      <w:proofErr w:type="gramStart"/>
      <w:r w:rsidRPr="00461AEB">
        <w:rPr>
          <w:color w:val="000000"/>
          <w:sz w:val="22"/>
          <w:szCs w:val="22"/>
        </w:rPr>
        <w:t>National Health (Price and Special Patient Contribution) Amendment</w:t>
      </w:r>
      <w:r>
        <w:rPr>
          <w:color w:val="000000"/>
          <w:sz w:val="22"/>
          <w:szCs w:val="22"/>
        </w:rPr>
        <w:t xml:space="preserve"> Determination 2013 (No.1) (No.</w:t>
      </w:r>
      <w:proofErr w:type="gramEnd"/>
      <w:r>
        <w:rPr>
          <w:color w:val="000000"/>
          <w:sz w:val="22"/>
          <w:szCs w:val="22"/>
        </w:rPr>
        <w:t> </w:t>
      </w:r>
      <w:r w:rsidRPr="00461AEB">
        <w:rPr>
          <w:color w:val="000000"/>
          <w:sz w:val="22"/>
          <w:szCs w:val="22"/>
        </w:rPr>
        <w:t>PB 2 of 2013) [F2013L00040]</w:t>
      </w:r>
    </w:p>
    <w:p w:rsidR="00EC5913" w:rsidRPr="00461AEB" w:rsidRDefault="00EC5913" w:rsidP="00EC5913">
      <w:pPr>
        <w:spacing w:after="60"/>
        <w:ind w:right="-45"/>
        <w:jc w:val="left"/>
        <w:rPr>
          <w:color w:val="000000"/>
          <w:sz w:val="22"/>
          <w:szCs w:val="22"/>
        </w:rPr>
      </w:pPr>
      <w:proofErr w:type="gramStart"/>
      <w:r w:rsidRPr="00461AEB">
        <w:rPr>
          <w:color w:val="000000"/>
          <w:sz w:val="22"/>
          <w:szCs w:val="22"/>
        </w:rPr>
        <w:t>National Health (Supplies of out-patient medication) Determination 2012 (No.</w:t>
      </w:r>
      <w:proofErr w:type="gramEnd"/>
      <w:r w:rsidRPr="00461AEB">
        <w:rPr>
          <w:color w:val="000000"/>
          <w:sz w:val="22"/>
          <w:szCs w:val="22"/>
        </w:rPr>
        <w:t xml:space="preserve"> PB 105 of 2012) [F2012L02504]</w:t>
      </w:r>
    </w:p>
    <w:p w:rsidR="00EC5913" w:rsidRPr="00461AEB" w:rsidRDefault="00EC5913" w:rsidP="00EC5913">
      <w:pPr>
        <w:spacing w:after="0"/>
        <w:ind w:right="-46"/>
        <w:jc w:val="left"/>
        <w:rPr>
          <w:color w:val="000000"/>
          <w:sz w:val="22"/>
          <w:szCs w:val="22"/>
        </w:rPr>
      </w:pPr>
      <w:r w:rsidRPr="00461AEB">
        <w:rPr>
          <w:color w:val="000000"/>
          <w:sz w:val="22"/>
          <w:szCs w:val="22"/>
        </w:rPr>
        <w:t>National Health (Weighted average disclosure price - main disclosure</w:t>
      </w:r>
      <w:r>
        <w:rPr>
          <w:color w:val="000000"/>
          <w:sz w:val="22"/>
          <w:szCs w:val="22"/>
        </w:rPr>
        <w:t xml:space="preserve"> cycle) Determination 2012 (No.</w:t>
      </w:r>
      <w:r w:rsidRPr="00461AEB">
        <w:rPr>
          <w:color w:val="000000"/>
          <w:sz w:val="22"/>
          <w:szCs w:val="22"/>
        </w:rPr>
        <w:t>PB 107 of 2012) [F2012L02554]</w:t>
      </w:r>
    </w:p>
    <w:p w:rsidR="00EC5913" w:rsidRPr="00461AEB" w:rsidRDefault="00EC5913" w:rsidP="00EC5913">
      <w:pPr>
        <w:spacing w:after="0"/>
        <w:ind w:right="-46"/>
        <w:rPr>
          <w:sz w:val="22"/>
          <w:szCs w:val="22"/>
        </w:rPr>
      </w:pPr>
    </w:p>
    <w:p w:rsidR="00EC5913" w:rsidRPr="00461AEB" w:rsidRDefault="00EC5913" w:rsidP="00EC5913">
      <w:pPr>
        <w:spacing w:after="120"/>
        <w:ind w:right="-45"/>
        <w:rPr>
          <w:sz w:val="24"/>
          <w:szCs w:val="24"/>
        </w:rPr>
      </w:pPr>
      <w:r w:rsidRPr="00461AEB">
        <w:rPr>
          <w:b/>
          <w:i/>
          <w:sz w:val="24"/>
          <w:szCs w:val="24"/>
        </w:rPr>
        <w:t>National Vocational Education and Training Regulator (Charges) Act 2012</w:t>
      </w:r>
    </w:p>
    <w:p w:rsidR="00EC5913" w:rsidRPr="00461AEB" w:rsidRDefault="00EC5913" w:rsidP="00EC5913">
      <w:pPr>
        <w:spacing w:after="0"/>
        <w:ind w:right="-46"/>
        <w:jc w:val="left"/>
        <w:rPr>
          <w:sz w:val="22"/>
          <w:szCs w:val="22"/>
        </w:rPr>
      </w:pPr>
      <w:r w:rsidRPr="00461AEB">
        <w:rPr>
          <w:sz w:val="22"/>
          <w:szCs w:val="22"/>
        </w:rPr>
        <w:t>National Vocational Education and Training Regulator (Charges) Determination 2012 (No. 1) [F2012L02582]</w:t>
      </w:r>
    </w:p>
    <w:p w:rsidR="00EC5913" w:rsidRPr="00461AEB" w:rsidRDefault="00EC5913" w:rsidP="00EC5913">
      <w:pPr>
        <w:spacing w:after="0"/>
        <w:ind w:right="-46"/>
        <w:rPr>
          <w:sz w:val="22"/>
          <w:szCs w:val="22"/>
        </w:rPr>
      </w:pPr>
    </w:p>
    <w:p w:rsidR="00EC5913" w:rsidRPr="00461AEB" w:rsidRDefault="00EC5913" w:rsidP="00EC5913">
      <w:pPr>
        <w:spacing w:after="120"/>
        <w:ind w:right="-45"/>
        <w:rPr>
          <w:sz w:val="24"/>
          <w:szCs w:val="24"/>
        </w:rPr>
      </w:pPr>
      <w:r w:rsidRPr="00461AEB">
        <w:rPr>
          <w:b/>
          <w:i/>
          <w:sz w:val="24"/>
          <w:szCs w:val="24"/>
        </w:rPr>
        <w:t>Native Title Act 1993</w:t>
      </w:r>
    </w:p>
    <w:p w:rsidR="00EC5913" w:rsidRPr="00461AEB" w:rsidRDefault="00EC5913" w:rsidP="00EC5913">
      <w:pPr>
        <w:spacing w:after="0"/>
        <w:ind w:right="-46"/>
        <w:jc w:val="left"/>
        <w:rPr>
          <w:color w:val="000000"/>
          <w:sz w:val="22"/>
          <w:szCs w:val="22"/>
        </w:rPr>
      </w:pPr>
      <w:r w:rsidRPr="00461AEB">
        <w:rPr>
          <w:color w:val="000000"/>
          <w:sz w:val="22"/>
          <w:szCs w:val="22"/>
        </w:rPr>
        <w:t>Native Title (Assistance from Attorney-General) Guideline 2012 [F2012L02564]</w:t>
      </w:r>
    </w:p>
    <w:p w:rsidR="00EC5913" w:rsidRPr="00461AEB" w:rsidRDefault="00EC5913" w:rsidP="00EC5913">
      <w:pPr>
        <w:spacing w:after="0"/>
        <w:ind w:right="-46"/>
        <w:rPr>
          <w:color w:val="000000"/>
          <w:sz w:val="22"/>
          <w:szCs w:val="22"/>
        </w:rPr>
      </w:pPr>
    </w:p>
    <w:p w:rsidR="00EC5913" w:rsidRPr="00461AEB" w:rsidRDefault="00EC5913" w:rsidP="00EC5913">
      <w:pPr>
        <w:spacing w:after="120"/>
        <w:ind w:right="-45"/>
        <w:rPr>
          <w:sz w:val="24"/>
          <w:szCs w:val="24"/>
        </w:rPr>
      </w:pPr>
      <w:r w:rsidRPr="00461AEB">
        <w:rPr>
          <w:b/>
          <w:i/>
          <w:sz w:val="24"/>
          <w:szCs w:val="24"/>
        </w:rPr>
        <w:t>Navigation Act 1912</w:t>
      </w:r>
    </w:p>
    <w:p w:rsidR="00EC5913" w:rsidRPr="00461AEB" w:rsidRDefault="00EC5913" w:rsidP="00EC5913">
      <w:pPr>
        <w:spacing w:after="60"/>
        <w:ind w:right="-45"/>
        <w:jc w:val="left"/>
        <w:rPr>
          <w:sz w:val="22"/>
          <w:szCs w:val="22"/>
        </w:rPr>
      </w:pPr>
      <w:r w:rsidRPr="00461AEB">
        <w:rPr>
          <w:sz w:val="22"/>
          <w:szCs w:val="22"/>
        </w:rPr>
        <w:t>Marine Order 2 (Australian International Shipping Register) 2012 [F2012L02584]</w:t>
      </w:r>
    </w:p>
    <w:p w:rsidR="00EC5913" w:rsidRPr="00461AEB" w:rsidRDefault="00EC5913" w:rsidP="00EC5913">
      <w:pPr>
        <w:spacing w:after="0"/>
        <w:ind w:right="-46"/>
        <w:jc w:val="left"/>
        <w:rPr>
          <w:sz w:val="22"/>
          <w:szCs w:val="22"/>
        </w:rPr>
      </w:pPr>
      <w:r w:rsidRPr="00461AEB">
        <w:rPr>
          <w:sz w:val="22"/>
          <w:szCs w:val="22"/>
        </w:rPr>
        <w:t>Marine Order 25, Issue 7 Amendment 2012 (No. 1) [F2012L02572]</w:t>
      </w:r>
    </w:p>
    <w:p w:rsidR="00EC5913" w:rsidRPr="00461AEB" w:rsidRDefault="00EC5913" w:rsidP="00EC5913">
      <w:pPr>
        <w:spacing w:after="120"/>
        <w:ind w:right="-45"/>
        <w:rPr>
          <w:b/>
          <w:i/>
          <w:sz w:val="24"/>
          <w:szCs w:val="24"/>
        </w:rPr>
      </w:pPr>
      <w:r w:rsidRPr="00461AEB">
        <w:rPr>
          <w:b/>
          <w:i/>
          <w:sz w:val="24"/>
          <w:szCs w:val="24"/>
        </w:rPr>
        <w:lastRenderedPageBreak/>
        <w:t>Nuclear Non-Proliferation (Safeguards) Act 1987</w:t>
      </w:r>
    </w:p>
    <w:p w:rsidR="00EC5913" w:rsidRPr="00461AEB" w:rsidRDefault="00EC5913" w:rsidP="00EC5913">
      <w:pPr>
        <w:spacing w:after="0"/>
        <w:ind w:right="-46"/>
        <w:jc w:val="left"/>
        <w:rPr>
          <w:color w:val="000000"/>
          <w:sz w:val="22"/>
          <w:szCs w:val="22"/>
        </w:rPr>
      </w:pPr>
      <w:r w:rsidRPr="00461AEB">
        <w:rPr>
          <w:color w:val="000000"/>
          <w:sz w:val="22"/>
          <w:szCs w:val="22"/>
        </w:rPr>
        <w:t>Nuclear Non-Proliferation (Safeguards) Amendment Regulation 2012 (No. 1) [Select Legislative Instrument 2012 No. 292] [F2012L02423]</w:t>
      </w:r>
    </w:p>
    <w:p w:rsidR="00EC5913" w:rsidRPr="00461AEB" w:rsidRDefault="00EC5913" w:rsidP="00EC5913">
      <w:pPr>
        <w:spacing w:after="0"/>
        <w:ind w:right="-46"/>
        <w:rPr>
          <w:sz w:val="22"/>
          <w:szCs w:val="22"/>
        </w:rPr>
      </w:pPr>
    </w:p>
    <w:p w:rsidR="00EC5913" w:rsidRPr="00461AEB" w:rsidRDefault="00EC5913" w:rsidP="00EC5913">
      <w:pPr>
        <w:spacing w:after="120"/>
        <w:ind w:right="-45"/>
        <w:rPr>
          <w:sz w:val="24"/>
          <w:szCs w:val="24"/>
        </w:rPr>
      </w:pPr>
      <w:r w:rsidRPr="00461AEB">
        <w:rPr>
          <w:b/>
          <w:i/>
          <w:sz w:val="24"/>
          <w:szCs w:val="24"/>
        </w:rPr>
        <w:t>Offshore Petroleum and Greenhouse Gas Storage (Regulatory Levies) Act 2003</w:t>
      </w:r>
    </w:p>
    <w:p w:rsidR="00EC5913" w:rsidRPr="00461AEB" w:rsidRDefault="00EC5913" w:rsidP="00EC5913">
      <w:pPr>
        <w:spacing w:after="0"/>
        <w:ind w:right="-46"/>
        <w:jc w:val="left"/>
        <w:rPr>
          <w:color w:val="000000"/>
          <w:sz w:val="22"/>
          <w:szCs w:val="22"/>
        </w:rPr>
      </w:pPr>
      <w:r w:rsidRPr="00461AEB">
        <w:rPr>
          <w:color w:val="000000"/>
          <w:sz w:val="22"/>
          <w:szCs w:val="22"/>
        </w:rPr>
        <w:t>Offshore Petroleum and Greenhouse Gas Storage (Regulatory Levies) Amendment Regulation 2012 (No. 1) [Select Legislative Instrument 2012 No. 306] [F2012L02494]</w:t>
      </w:r>
    </w:p>
    <w:p w:rsidR="00EC5913" w:rsidRPr="00461AEB" w:rsidRDefault="00EC5913" w:rsidP="00EC5913">
      <w:pPr>
        <w:spacing w:after="0"/>
        <w:ind w:right="-46"/>
        <w:rPr>
          <w:color w:val="000000"/>
          <w:sz w:val="22"/>
          <w:szCs w:val="22"/>
        </w:rPr>
      </w:pPr>
    </w:p>
    <w:p w:rsidR="00EC5913" w:rsidRPr="00461AEB" w:rsidRDefault="00EC5913" w:rsidP="00EC5913">
      <w:pPr>
        <w:spacing w:after="120"/>
        <w:ind w:right="-45"/>
        <w:rPr>
          <w:b/>
          <w:i/>
          <w:sz w:val="24"/>
          <w:szCs w:val="24"/>
        </w:rPr>
      </w:pPr>
      <w:r w:rsidRPr="00461AEB">
        <w:rPr>
          <w:b/>
          <w:i/>
          <w:sz w:val="24"/>
          <w:szCs w:val="24"/>
        </w:rPr>
        <w:t>Paid Parental Leave Act 2010</w:t>
      </w:r>
    </w:p>
    <w:p w:rsidR="00EC5913" w:rsidRPr="00461AEB" w:rsidRDefault="00EC5913" w:rsidP="00EC5913">
      <w:pPr>
        <w:spacing w:after="0"/>
        <w:ind w:right="-46"/>
        <w:jc w:val="left"/>
        <w:rPr>
          <w:sz w:val="22"/>
          <w:szCs w:val="22"/>
        </w:rPr>
      </w:pPr>
      <w:r w:rsidRPr="00461AEB">
        <w:rPr>
          <w:sz w:val="22"/>
          <w:szCs w:val="22"/>
        </w:rPr>
        <w:t>Paid Parental Leave Amendment Rules 2012 (No. 2) [F2012L02576]</w:t>
      </w:r>
    </w:p>
    <w:p w:rsidR="00EC5913" w:rsidRPr="00461AEB" w:rsidRDefault="00EC5913" w:rsidP="00EC5913">
      <w:pPr>
        <w:spacing w:after="0"/>
        <w:ind w:right="-46"/>
        <w:rPr>
          <w:sz w:val="22"/>
          <w:szCs w:val="22"/>
        </w:rPr>
      </w:pPr>
    </w:p>
    <w:p w:rsidR="00EC5913" w:rsidRPr="00461AEB" w:rsidRDefault="00EC5913" w:rsidP="00EC5913">
      <w:pPr>
        <w:spacing w:after="120"/>
        <w:ind w:right="-45"/>
        <w:rPr>
          <w:sz w:val="24"/>
          <w:szCs w:val="24"/>
        </w:rPr>
      </w:pPr>
      <w:r w:rsidRPr="00461AEB">
        <w:rPr>
          <w:b/>
          <w:i/>
          <w:sz w:val="24"/>
          <w:szCs w:val="24"/>
        </w:rPr>
        <w:t>Parliamentary Entitlements Act 1990</w:t>
      </w:r>
    </w:p>
    <w:p w:rsidR="00EC5913" w:rsidRPr="00461AEB" w:rsidRDefault="00EC5913" w:rsidP="00EC5913">
      <w:pPr>
        <w:spacing w:after="0"/>
        <w:ind w:right="-46"/>
        <w:jc w:val="left"/>
        <w:rPr>
          <w:color w:val="000000"/>
          <w:sz w:val="22"/>
          <w:szCs w:val="22"/>
        </w:rPr>
      </w:pPr>
      <w:r w:rsidRPr="00461AEB">
        <w:rPr>
          <w:color w:val="000000"/>
          <w:sz w:val="22"/>
          <w:szCs w:val="22"/>
        </w:rPr>
        <w:t>Parliamentary Entitlements (Supplement of Capped Entitlements) Determination 2012 (No. 1) [F2012L02479]</w:t>
      </w:r>
    </w:p>
    <w:p w:rsidR="00EC5913" w:rsidRPr="00461AEB" w:rsidRDefault="00EC5913" w:rsidP="00EC5913">
      <w:pPr>
        <w:spacing w:after="0"/>
        <w:ind w:right="-46"/>
        <w:rPr>
          <w:sz w:val="22"/>
          <w:szCs w:val="22"/>
        </w:rPr>
      </w:pPr>
    </w:p>
    <w:p w:rsidR="00EC5913" w:rsidRPr="00461AEB" w:rsidRDefault="00EC5913" w:rsidP="00EC5913">
      <w:pPr>
        <w:spacing w:after="120"/>
        <w:ind w:right="-45"/>
        <w:rPr>
          <w:sz w:val="24"/>
          <w:szCs w:val="24"/>
        </w:rPr>
      </w:pPr>
      <w:r w:rsidRPr="00461AEB">
        <w:rPr>
          <w:b/>
          <w:i/>
          <w:sz w:val="24"/>
          <w:szCs w:val="24"/>
        </w:rPr>
        <w:t>Payment Systems (Regulations) Act 1998</w:t>
      </w:r>
    </w:p>
    <w:p w:rsidR="00EC5913" w:rsidRPr="00461AEB" w:rsidRDefault="00EC5913" w:rsidP="00EC5913">
      <w:pPr>
        <w:spacing w:after="0"/>
        <w:ind w:right="-46"/>
        <w:jc w:val="left"/>
        <w:rPr>
          <w:sz w:val="22"/>
          <w:szCs w:val="22"/>
        </w:rPr>
      </w:pPr>
      <w:r w:rsidRPr="00461AEB">
        <w:rPr>
          <w:sz w:val="22"/>
          <w:szCs w:val="22"/>
        </w:rPr>
        <w:t>Payment Systems (Regulations) Act 1998 – Revocation of the Standard on Interchange Fees for the EFTPOS System Designated in Designation No. 2 of 2004 (November 2012) [F2013L00037]</w:t>
      </w:r>
    </w:p>
    <w:p w:rsidR="00EC5913" w:rsidRPr="00461AEB" w:rsidRDefault="00EC5913" w:rsidP="00EC5913">
      <w:pPr>
        <w:spacing w:after="0"/>
        <w:ind w:right="-46"/>
        <w:rPr>
          <w:sz w:val="22"/>
          <w:szCs w:val="22"/>
        </w:rPr>
      </w:pPr>
    </w:p>
    <w:p w:rsidR="00EC5913" w:rsidRPr="00461AEB" w:rsidRDefault="00EC5913" w:rsidP="00EC5913">
      <w:pPr>
        <w:spacing w:after="120"/>
        <w:ind w:right="-45"/>
        <w:rPr>
          <w:b/>
          <w:i/>
          <w:sz w:val="24"/>
          <w:szCs w:val="24"/>
        </w:rPr>
      </w:pPr>
      <w:r w:rsidRPr="00461AEB">
        <w:rPr>
          <w:b/>
          <w:i/>
          <w:sz w:val="24"/>
          <w:szCs w:val="24"/>
        </w:rPr>
        <w:t>Private Health Insurance Act 2007</w:t>
      </w:r>
    </w:p>
    <w:p w:rsidR="00EC5913" w:rsidRPr="00461AEB" w:rsidRDefault="00EC5913" w:rsidP="00EC5913">
      <w:pPr>
        <w:spacing w:after="60"/>
        <w:ind w:right="-45"/>
        <w:jc w:val="left"/>
        <w:rPr>
          <w:color w:val="000000"/>
          <w:sz w:val="22"/>
          <w:szCs w:val="22"/>
        </w:rPr>
      </w:pPr>
      <w:r w:rsidRPr="00461AEB">
        <w:rPr>
          <w:color w:val="000000"/>
          <w:sz w:val="22"/>
          <w:szCs w:val="22"/>
        </w:rPr>
        <w:t>Private Health Insurance (Accreditation) Amendment Rules 2012 (No. 2) [F2013L00004]</w:t>
      </w:r>
    </w:p>
    <w:p w:rsidR="00EC5913" w:rsidRPr="00461AEB" w:rsidRDefault="00EC5913" w:rsidP="00EC5913">
      <w:pPr>
        <w:spacing w:after="60"/>
        <w:ind w:right="-45"/>
        <w:jc w:val="left"/>
        <w:rPr>
          <w:color w:val="000000"/>
          <w:sz w:val="22"/>
          <w:szCs w:val="22"/>
        </w:rPr>
      </w:pPr>
      <w:r w:rsidRPr="00461AEB">
        <w:rPr>
          <w:color w:val="000000"/>
          <w:sz w:val="22"/>
          <w:szCs w:val="22"/>
        </w:rPr>
        <w:t>Private Health Insurance (Benefit Requirements) Amendment Rules 2012 (No. 9) [F2012L02502]</w:t>
      </w:r>
    </w:p>
    <w:p w:rsidR="00EC5913" w:rsidRPr="00461AEB" w:rsidRDefault="00EC5913" w:rsidP="00EC5913">
      <w:pPr>
        <w:spacing w:after="0"/>
        <w:ind w:right="-46"/>
        <w:jc w:val="left"/>
        <w:rPr>
          <w:color w:val="000000"/>
          <w:sz w:val="22"/>
          <w:szCs w:val="22"/>
        </w:rPr>
      </w:pPr>
      <w:r w:rsidRPr="00461AEB">
        <w:rPr>
          <w:color w:val="000000"/>
          <w:sz w:val="22"/>
          <w:szCs w:val="22"/>
        </w:rPr>
        <w:t>Private Health Insurance (Benefit Requirements) Amendment Rules 2012 (No. 10) [F2013L00003]</w:t>
      </w:r>
    </w:p>
    <w:p w:rsidR="00EC5913" w:rsidRPr="00461AEB" w:rsidRDefault="00EC5913" w:rsidP="00EC5913">
      <w:pPr>
        <w:spacing w:after="0"/>
        <w:ind w:right="-46"/>
        <w:rPr>
          <w:sz w:val="22"/>
          <w:szCs w:val="22"/>
        </w:rPr>
      </w:pPr>
    </w:p>
    <w:p w:rsidR="00EC5913" w:rsidRPr="00461AEB" w:rsidRDefault="00EC5913" w:rsidP="00EC5913">
      <w:pPr>
        <w:spacing w:after="120"/>
        <w:ind w:right="-45"/>
        <w:rPr>
          <w:sz w:val="24"/>
          <w:szCs w:val="24"/>
        </w:rPr>
      </w:pPr>
      <w:r w:rsidRPr="00461AEB">
        <w:rPr>
          <w:b/>
          <w:i/>
          <w:sz w:val="24"/>
          <w:szCs w:val="24"/>
        </w:rPr>
        <w:t>Radiocommunications (Receiver Licence Tax) Act 1983</w:t>
      </w:r>
    </w:p>
    <w:p w:rsidR="00EC5913" w:rsidRPr="00461AEB" w:rsidRDefault="00EC5913" w:rsidP="00EC5913">
      <w:pPr>
        <w:spacing w:after="0"/>
        <w:ind w:right="-46"/>
        <w:jc w:val="left"/>
        <w:rPr>
          <w:sz w:val="22"/>
          <w:szCs w:val="22"/>
        </w:rPr>
      </w:pPr>
      <w:r w:rsidRPr="00461AEB">
        <w:rPr>
          <w:sz w:val="22"/>
          <w:szCs w:val="22"/>
        </w:rPr>
        <w:t>Radiocommunications (Receiver Licence Tax) Amendment Determination 2012 (No. 3) [F2013L00012]</w:t>
      </w:r>
    </w:p>
    <w:p w:rsidR="00EC5913" w:rsidRPr="00461AEB" w:rsidRDefault="00EC5913" w:rsidP="00EC5913">
      <w:pPr>
        <w:spacing w:after="0"/>
        <w:ind w:right="-46"/>
        <w:rPr>
          <w:sz w:val="22"/>
          <w:szCs w:val="22"/>
        </w:rPr>
      </w:pPr>
    </w:p>
    <w:p w:rsidR="00EC5913" w:rsidRPr="00461AEB" w:rsidRDefault="00EC5913" w:rsidP="00EC5913">
      <w:pPr>
        <w:spacing w:after="120"/>
        <w:ind w:right="-45"/>
        <w:rPr>
          <w:sz w:val="24"/>
          <w:szCs w:val="24"/>
        </w:rPr>
      </w:pPr>
      <w:r w:rsidRPr="00461AEB">
        <w:rPr>
          <w:b/>
          <w:i/>
          <w:sz w:val="24"/>
          <w:szCs w:val="24"/>
        </w:rPr>
        <w:t>Radiocommunications (Transmitter Licence Tax) Act 1983</w:t>
      </w:r>
    </w:p>
    <w:p w:rsidR="00EC5913" w:rsidRPr="00461AEB" w:rsidRDefault="00EC5913" w:rsidP="00EC5913">
      <w:pPr>
        <w:spacing w:after="0"/>
        <w:ind w:right="-46"/>
        <w:jc w:val="left"/>
        <w:rPr>
          <w:sz w:val="22"/>
          <w:szCs w:val="22"/>
        </w:rPr>
      </w:pPr>
      <w:r w:rsidRPr="00461AEB">
        <w:rPr>
          <w:sz w:val="22"/>
          <w:szCs w:val="22"/>
        </w:rPr>
        <w:t>Radiocommunications (Transmitter Licence Tax) Amendment Determination 2012 (No. 5) [F2013L00013]</w:t>
      </w:r>
    </w:p>
    <w:p w:rsidR="00EC5913" w:rsidRPr="00461AEB" w:rsidRDefault="00EC5913" w:rsidP="00EC5913">
      <w:pPr>
        <w:spacing w:after="0"/>
        <w:ind w:right="-46"/>
        <w:rPr>
          <w:sz w:val="22"/>
          <w:szCs w:val="22"/>
        </w:rPr>
      </w:pPr>
    </w:p>
    <w:p w:rsidR="00EC5913" w:rsidRPr="00461AEB" w:rsidRDefault="00EC5913" w:rsidP="00EC5913">
      <w:pPr>
        <w:spacing w:after="120"/>
        <w:ind w:right="-45"/>
        <w:rPr>
          <w:sz w:val="24"/>
          <w:szCs w:val="24"/>
        </w:rPr>
      </w:pPr>
      <w:r w:rsidRPr="00461AEB">
        <w:rPr>
          <w:b/>
          <w:i/>
          <w:sz w:val="24"/>
          <w:szCs w:val="24"/>
        </w:rPr>
        <w:t>Radiocommunications Act 1992</w:t>
      </w:r>
    </w:p>
    <w:p w:rsidR="00EC5913" w:rsidRPr="00461AEB" w:rsidRDefault="00EC5913" w:rsidP="00EC5913">
      <w:pPr>
        <w:spacing w:after="60"/>
        <w:ind w:right="-45"/>
        <w:jc w:val="left"/>
        <w:rPr>
          <w:color w:val="000000"/>
          <w:sz w:val="22"/>
          <w:szCs w:val="22"/>
        </w:rPr>
      </w:pPr>
      <w:r w:rsidRPr="00461AEB">
        <w:rPr>
          <w:color w:val="000000"/>
          <w:sz w:val="22"/>
          <w:szCs w:val="22"/>
        </w:rPr>
        <w:t>Australian Radiofrequency Spectrum Plan 2013 [F2012L02523]</w:t>
      </w:r>
    </w:p>
    <w:p w:rsidR="00EC5913" w:rsidRPr="00461AEB" w:rsidRDefault="00EC5913" w:rsidP="00EC5913">
      <w:pPr>
        <w:spacing w:after="60"/>
        <w:ind w:right="-45"/>
        <w:jc w:val="left"/>
        <w:rPr>
          <w:color w:val="000000"/>
          <w:sz w:val="22"/>
          <w:szCs w:val="22"/>
        </w:rPr>
      </w:pPr>
      <w:r w:rsidRPr="00461AEB">
        <w:rPr>
          <w:color w:val="000000"/>
          <w:sz w:val="22"/>
          <w:szCs w:val="22"/>
        </w:rPr>
        <w:t>Radiocommunications Advisory Guidelines (Managing Interference from Transmitters – 2.5 GHz Band) 2012 [F2012L02550]</w:t>
      </w:r>
    </w:p>
    <w:p w:rsidR="00EC5913" w:rsidRPr="00461AEB" w:rsidRDefault="00EC5913" w:rsidP="00EC5913">
      <w:pPr>
        <w:spacing w:after="60"/>
        <w:ind w:right="-45"/>
        <w:jc w:val="left"/>
        <w:rPr>
          <w:color w:val="000000"/>
          <w:sz w:val="22"/>
          <w:szCs w:val="22"/>
        </w:rPr>
      </w:pPr>
      <w:r w:rsidRPr="00461AEB">
        <w:rPr>
          <w:color w:val="000000"/>
          <w:sz w:val="22"/>
          <w:szCs w:val="22"/>
        </w:rPr>
        <w:t>Radiocommunications Advisory Guidelines (Managing Interference from Transmitters – 2.5 GHz Mid-band Gap) 2012 [F2012L02555]</w:t>
      </w:r>
    </w:p>
    <w:p w:rsidR="00EC5913" w:rsidRPr="00461AEB" w:rsidRDefault="00EC5913" w:rsidP="00EC5913">
      <w:pPr>
        <w:spacing w:after="60"/>
        <w:ind w:right="-45"/>
        <w:jc w:val="left"/>
        <w:rPr>
          <w:color w:val="000000"/>
          <w:sz w:val="22"/>
          <w:szCs w:val="22"/>
        </w:rPr>
      </w:pPr>
      <w:r w:rsidRPr="00461AEB">
        <w:rPr>
          <w:color w:val="000000"/>
          <w:sz w:val="22"/>
          <w:szCs w:val="22"/>
        </w:rPr>
        <w:t>Radiocommunications Advisory Guidelines (Managing Interference from Transmitters – 700 MHz Band) 2012 [F2012L02546]</w:t>
      </w:r>
    </w:p>
    <w:p w:rsidR="00EC5913" w:rsidRPr="00461AEB" w:rsidRDefault="00EC5913" w:rsidP="00EC5913">
      <w:pPr>
        <w:spacing w:after="60"/>
        <w:ind w:right="-45"/>
        <w:jc w:val="left"/>
        <w:rPr>
          <w:color w:val="000000"/>
          <w:sz w:val="22"/>
          <w:szCs w:val="22"/>
        </w:rPr>
      </w:pPr>
      <w:r w:rsidRPr="00461AEB">
        <w:rPr>
          <w:color w:val="000000"/>
          <w:sz w:val="22"/>
          <w:szCs w:val="22"/>
        </w:rPr>
        <w:t>Radiocommunications Advisory Guidelines (Managing Interference to Receivers – 2.5 GHz Band) 2012 [F2012L02549]</w:t>
      </w:r>
    </w:p>
    <w:p w:rsidR="00EC5913" w:rsidRPr="00461AEB" w:rsidRDefault="00EC5913" w:rsidP="00EC5913">
      <w:pPr>
        <w:spacing w:after="60"/>
        <w:ind w:right="-45"/>
        <w:jc w:val="left"/>
        <w:rPr>
          <w:color w:val="000000"/>
          <w:sz w:val="22"/>
          <w:szCs w:val="22"/>
        </w:rPr>
      </w:pPr>
      <w:r w:rsidRPr="00461AEB">
        <w:rPr>
          <w:color w:val="000000"/>
          <w:sz w:val="22"/>
          <w:szCs w:val="22"/>
        </w:rPr>
        <w:t>Radiocommunications Advisory Guidelines (Managing Interference to Receivers – 2.5 GHz Mid-band Gap) 2012 [F2012L02558]</w:t>
      </w:r>
    </w:p>
    <w:p w:rsidR="00EC5913" w:rsidRPr="00461AEB" w:rsidRDefault="00EC5913" w:rsidP="00EC5913">
      <w:pPr>
        <w:spacing w:after="60"/>
        <w:ind w:right="-45"/>
        <w:jc w:val="left"/>
        <w:rPr>
          <w:color w:val="000000"/>
          <w:sz w:val="22"/>
          <w:szCs w:val="22"/>
        </w:rPr>
      </w:pPr>
      <w:r w:rsidRPr="00461AEB">
        <w:rPr>
          <w:color w:val="000000"/>
          <w:sz w:val="22"/>
          <w:szCs w:val="22"/>
        </w:rPr>
        <w:t>Radiocommunications Advisory Guidelines (Managing Interference to Receivers – 700 MHz Band) 2012 [F2012L02544]</w:t>
      </w:r>
    </w:p>
    <w:p w:rsidR="00EC5913" w:rsidRPr="00461AEB" w:rsidRDefault="00EC5913" w:rsidP="00EC5913">
      <w:pPr>
        <w:spacing w:after="60"/>
        <w:ind w:right="-45"/>
        <w:jc w:val="left"/>
        <w:rPr>
          <w:color w:val="000000"/>
          <w:sz w:val="22"/>
          <w:szCs w:val="22"/>
        </w:rPr>
      </w:pPr>
      <w:r w:rsidRPr="00461AEB">
        <w:rPr>
          <w:color w:val="000000"/>
          <w:sz w:val="22"/>
          <w:szCs w:val="22"/>
        </w:rPr>
        <w:lastRenderedPageBreak/>
        <w:t>Radiocommunications (Field Trial by Corrective Services NSW of PMTS Jamming Devices at Lithgow Correctional Centre) Exemption Determination 2012 [F2012L02561]</w:t>
      </w:r>
    </w:p>
    <w:p w:rsidR="00EC5913" w:rsidRPr="00461AEB" w:rsidRDefault="00EC5913" w:rsidP="00EC5913">
      <w:pPr>
        <w:spacing w:after="60"/>
        <w:ind w:right="-45"/>
        <w:jc w:val="left"/>
        <w:rPr>
          <w:color w:val="000000"/>
          <w:sz w:val="22"/>
          <w:szCs w:val="22"/>
        </w:rPr>
      </w:pPr>
      <w:r w:rsidRPr="00461AEB">
        <w:rPr>
          <w:color w:val="000000"/>
          <w:sz w:val="22"/>
          <w:szCs w:val="22"/>
        </w:rPr>
        <w:t>Radiocommunications Licence Conditions (Amateur Licence) Am</w:t>
      </w:r>
      <w:r>
        <w:rPr>
          <w:color w:val="000000"/>
          <w:sz w:val="22"/>
          <w:szCs w:val="22"/>
        </w:rPr>
        <w:t>endment Determination 2012 (No. </w:t>
      </w:r>
      <w:r w:rsidRPr="00461AEB">
        <w:rPr>
          <w:color w:val="000000"/>
          <w:sz w:val="22"/>
          <w:szCs w:val="22"/>
        </w:rPr>
        <w:t>1) [F2012L02574]</w:t>
      </w:r>
    </w:p>
    <w:p w:rsidR="00EC5913" w:rsidRPr="00461AEB" w:rsidRDefault="00EC5913" w:rsidP="00EC5913">
      <w:pPr>
        <w:spacing w:after="60"/>
        <w:ind w:right="-45"/>
        <w:jc w:val="left"/>
        <w:rPr>
          <w:color w:val="000000"/>
          <w:sz w:val="22"/>
          <w:szCs w:val="22"/>
        </w:rPr>
      </w:pPr>
      <w:r w:rsidRPr="00461AEB">
        <w:rPr>
          <w:color w:val="000000"/>
          <w:sz w:val="22"/>
          <w:szCs w:val="22"/>
        </w:rPr>
        <w:t>Radiocommunications (Overseas Amateurs Visiting Australia) Class Licence Variation 2012 (No. 1) [F2012L02573]</w:t>
      </w:r>
    </w:p>
    <w:p w:rsidR="00EC5913" w:rsidRPr="00461AEB" w:rsidRDefault="00EC5913" w:rsidP="00EC5913">
      <w:pPr>
        <w:spacing w:after="60"/>
        <w:ind w:right="-45"/>
        <w:jc w:val="left"/>
        <w:rPr>
          <w:color w:val="000000"/>
          <w:sz w:val="22"/>
          <w:szCs w:val="22"/>
        </w:rPr>
      </w:pPr>
      <w:r w:rsidRPr="00461AEB">
        <w:rPr>
          <w:color w:val="000000"/>
          <w:sz w:val="22"/>
          <w:szCs w:val="22"/>
        </w:rPr>
        <w:t>Radiocommunications (Spectrum Access Charges – 1800 MHz Band) Determination 2012 (No. 1) [F2013L00010]</w:t>
      </w:r>
    </w:p>
    <w:p w:rsidR="00EC5913" w:rsidRPr="00461AEB" w:rsidRDefault="00EC5913" w:rsidP="00EC5913">
      <w:pPr>
        <w:spacing w:after="60"/>
        <w:ind w:right="-45"/>
        <w:jc w:val="left"/>
        <w:rPr>
          <w:color w:val="000000"/>
          <w:sz w:val="22"/>
          <w:szCs w:val="22"/>
        </w:rPr>
      </w:pPr>
      <w:r w:rsidRPr="00461AEB">
        <w:rPr>
          <w:color w:val="000000"/>
          <w:sz w:val="22"/>
          <w:szCs w:val="22"/>
        </w:rPr>
        <w:t>Radiocommunications (Spectrum Access Charges – 1800 MHz Band) Determination 2012 (No. 2) [F2013L00011]</w:t>
      </w:r>
    </w:p>
    <w:p w:rsidR="00EC5913" w:rsidRPr="00461AEB" w:rsidRDefault="00EC5913" w:rsidP="00EC5913">
      <w:pPr>
        <w:spacing w:after="60"/>
        <w:ind w:right="-45"/>
        <w:jc w:val="left"/>
        <w:rPr>
          <w:color w:val="000000"/>
          <w:sz w:val="22"/>
          <w:szCs w:val="22"/>
        </w:rPr>
      </w:pPr>
      <w:r w:rsidRPr="00461AEB">
        <w:rPr>
          <w:color w:val="000000"/>
          <w:sz w:val="22"/>
          <w:szCs w:val="22"/>
        </w:rPr>
        <w:t>Radiocommunications Spectrum Conversion Plan (2.5 GHz Mid-band Gap) 2012 [F2012L02542]</w:t>
      </w:r>
    </w:p>
    <w:p w:rsidR="00EC5913" w:rsidRPr="00461AEB" w:rsidRDefault="00EC5913" w:rsidP="00EC5913">
      <w:pPr>
        <w:spacing w:after="60"/>
        <w:ind w:right="-45"/>
        <w:jc w:val="left"/>
        <w:rPr>
          <w:color w:val="000000"/>
          <w:sz w:val="22"/>
          <w:szCs w:val="22"/>
        </w:rPr>
      </w:pPr>
      <w:r w:rsidRPr="00461AEB">
        <w:rPr>
          <w:color w:val="000000"/>
          <w:sz w:val="22"/>
          <w:szCs w:val="22"/>
        </w:rPr>
        <w:t>Radiocommunications (Spectrum Licence Allocation—Combinatorial Clock Auction) Determination 2012 [F2012L02548]</w:t>
      </w:r>
    </w:p>
    <w:p w:rsidR="00EC5913" w:rsidRPr="00461AEB" w:rsidRDefault="00EC5913" w:rsidP="00EC5913">
      <w:pPr>
        <w:spacing w:after="60"/>
        <w:ind w:right="-45"/>
        <w:jc w:val="left"/>
        <w:rPr>
          <w:color w:val="000000"/>
          <w:sz w:val="22"/>
          <w:szCs w:val="22"/>
        </w:rPr>
      </w:pPr>
      <w:r w:rsidRPr="00461AEB">
        <w:rPr>
          <w:color w:val="000000"/>
          <w:sz w:val="22"/>
          <w:szCs w:val="22"/>
        </w:rPr>
        <w:t>Radiocommunications Spectrum Marketing Plan (2.5 GHz Band) 2012 [F2012L02552]</w:t>
      </w:r>
    </w:p>
    <w:p w:rsidR="00EC5913" w:rsidRPr="00461AEB" w:rsidRDefault="00EC5913" w:rsidP="00EC5913">
      <w:pPr>
        <w:spacing w:after="60"/>
        <w:ind w:right="-45"/>
        <w:jc w:val="left"/>
        <w:rPr>
          <w:color w:val="000000"/>
          <w:sz w:val="22"/>
          <w:szCs w:val="22"/>
        </w:rPr>
      </w:pPr>
      <w:r w:rsidRPr="00461AEB">
        <w:rPr>
          <w:color w:val="000000"/>
          <w:sz w:val="22"/>
          <w:szCs w:val="22"/>
        </w:rPr>
        <w:t>Radiocommunications Spectrum Marketing Plan (700 MHz Band) 2012 [F2012L02547]</w:t>
      </w:r>
    </w:p>
    <w:p w:rsidR="00EC5913" w:rsidRPr="00461AEB" w:rsidRDefault="00EC5913" w:rsidP="00EC5913">
      <w:pPr>
        <w:spacing w:after="60"/>
        <w:ind w:right="-45"/>
        <w:jc w:val="left"/>
        <w:rPr>
          <w:color w:val="000000"/>
          <w:sz w:val="22"/>
          <w:szCs w:val="22"/>
        </w:rPr>
      </w:pPr>
      <w:r w:rsidRPr="00461AEB">
        <w:rPr>
          <w:color w:val="000000"/>
          <w:sz w:val="22"/>
          <w:szCs w:val="22"/>
        </w:rPr>
        <w:t>Radiocommunications (Unacceptable Levels of Interference – 2.5 GHz Band) Determination 2012 [F2012L02545]</w:t>
      </w:r>
    </w:p>
    <w:p w:rsidR="00EC5913" w:rsidRPr="00461AEB" w:rsidRDefault="00EC5913" w:rsidP="00EC5913">
      <w:pPr>
        <w:spacing w:after="60"/>
        <w:ind w:right="-45"/>
        <w:jc w:val="left"/>
        <w:rPr>
          <w:color w:val="000000"/>
          <w:sz w:val="22"/>
          <w:szCs w:val="22"/>
        </w:rPr>
      </w:pPr>
      <w:r w:rsidRPr="00461AEB">
        <w:rPr>
          <w:color w:val="000000"/>
          <w:sz w:val="22"/>
          <w:szCs w:val="22"/>
        </w:rPr>
        <w:t>Radiocommunications (Unacceptable Levels of Interference – 2.5 GHz Mid-band Gap) Determination 2012 [F2012L02553]</w:t>
      </w:r>
    </w:p>
    <w:p w:rsidR="00EC5913" w:rsidRPr="00461AEB" w:rsidRDefault="00EC5913" w:rsidP="00EC5913">
      <w:pPr>
        <w:spacing w:after="0"/>
        <w:ind w:right="-46"/>
        <w:jc w:val="left"/>
        <w:rPr>
          <w:color w:val="000000"/>
          <w:sz w:val="22"/>
          <w:szCs w:val="22"/>
        </w:rPr>
      </w:pPr>
      <w:r w:rsidRPr="00461AEB">
        <w:rPr>
          <w:color w:val="000000"/>
          <w:sz w:val="22"/>
          <w:szCs w:val="22"/>
        </w:rPr>
        <w:t>Radiocommunications (Unacceptable Levels of Interference - 700 MHz Band) Determination 2012 [F2012L02543]</w:t>
      </w:r>
    </w:p>
    <w:p w:rsidR="00EC5913" w:rsidRPr="00461AEB" w:rsidRDefault="00EC5913" w:rsidP="00EC5913">
      <w:pPr>
        <w:spacing w:after="0"/>
        <w:ind w:right="-46"/>
        <w:rPr>
          <w:color w:val="000000"/>
          <w:sz w:val="22"/>
          <w:szCs w:val="22"/>
        </w:rPr>
      </w:pPr>
    </w:p>
    <w:p w:rsidR="00EC5913" w:rsidRPr="00461AEB" w:rsidRDefault="00EC5913" w:rsidP="00EC5913">
      <w:pPr>
        <w:spacing w:after="120"/>
        <w:ind w:right="-45"/>
        <w:rPr>
          <w:color w:val="000000"/>
          <w:sz w:val="24"/>
          <w:szCs w:val="24"/>
        </w:rPr>
      </w:pPr>
      <w:r w:rsidRPr="00461AEB">
        <w:rPr>
          <w:b/>
          <w:i/>
          <w:color w:val="000000"/>
          <w:sz w:val="24"/>
          <w:szCs w:val="24"/>
        </w:rPr>
        <w:t>Remuneration Tribunal Act 1973</w:t>
      </w:r>
    </w:p>
    <w:p w:rsidR="00EC5913" w:rsidRPr="00461AEB" w:rsidRDefault="00EC5913" w:rsidP="00EC5913">
      <w:pPr>
        <w:spacing w:after="60"/>
        <w:ind w:right="-45"/>
        <w:jc w:val="left"/>
        <w:rPr>
          <w:color w:val="000000"/>
          <w:sz w:val="22"/>
          <w:szCs w:val="22"/>
        </w:rPr>
      </w:pPr>
      <w:r w:rsidRPr="00461AEB">
        <w:rPr>
          <w:color w:val="000000"/>
          <w:sz w:val="22"/>
          <w:szCs w:val="22"/>
        </w:rPr>
        <w:t>Remuneration Tribunal Determination 2012/24 – Remuneration and Allowances for Holders of Full-Time Public Office [F2012L02570]</w:t>
      </w:r>
    </w:p>
    <w:p w:rsidR="00EC5913" w:rsidRPr="00461AEB" w:rsidRDefault="00EC5913" w:rsidP="00EC5913">
      <w:pPr>
        <w:spacing w:after="0"/>
        <w:ind w:right="-46"/>
        <w:jc w:val="left"/>
        <w:rPr>
          <w:color w:val="000000"/>
          <w:sz w:val="22"/>
          <w:szCs w:val="22"/>
        </w:rPr>
      </w:pPr>
      <w:r w:rsidRPr="00461AEB">
        <w:rPr>
          <w:color w:val="000000"/>
          <w:sz w:val="22"/>
          <w:szCs w:val="22"/>
        </w:rPr>
        <w:t>Remuneration Tribunal Determination 2012/25 – Remuneration and Allowances for Holders of Public Office [F2013L00006]</w:t>
      </w:r>
    </w:p>
    <w:p w:rsidR="00EC5913" w:rsidRPr="00461AEB" w:rsidRDefault="00EC5913" w:rsidP="00EC5913">
      <w:pPr>
        <w:spacing w:after="0"/>
        <w:ind w:right="-46"/>
        <w:rPr>
          <w:color w:val="000000"/>
          <w:sz w:val="22"/>
          <w:szCs w:val="22"/>
        </w:rPr>
      </w:pPr>
    </w:p>
    <w:p w:rsidR="00EC5913" w:rsidRPr="00461AEB" w:rsidRDefault="00EC5913" w:rsidP="00EC5913">
      <w:pPr>
        <w:spacing w:after="120"/>
        <w:ind w:right="-45"/>
        <w:rPr>
          <w:color w:val="000000"/>
          <w:sz w:val="24"/>
          <w:szCs w:val="24"/>
        </w:rPr>
      </w:pPr>
      <w:r w:rsidRPr="00461AEB">
        <w:rPr>
          <w:b/>
          <w:i/>
          <w:color w:val="000000"/>
          <w:sz w:val="24"/>
          <w:szCs w:val="24"/>
        </w:rPr>
        <w:t>Social Security Act 1991</w:t>
      </w:r>
    </w:p>
    <w:p w:rsidR="00EC5913" w:rsidRPr="00461AEB" w:rsidRDefault="00EC5913" w:rsidP="00EC5913">
      <w:pPr>
        <w:spacing w:after="60"/>
        <w:ind w:right="-45"/>
        <w:jc w:val="left"/>
        <w:rPr>
          <w:color w:val="000000"/>
          <w:sz w:val="22"/>
          <w:szCs w:val="22"/>
        </w:rPr>
      </w:pPr>
      <w:r w:rsidRPr="00461AEB">
        <w:rPr>
          <w:color w:val="000000"/>
          <w:sz w:val="22"/>
          <w:szCs w:val="22"/>
        </w:rPr>
        <w:t>Social Security (Actuarial Certificate−Lifetime Income Stream Guidelines) Determination 2012 [F2012L02565]</w:t>
      </w:r>
    </w:p>
    <w:p w:rsidR="00EC5913" w:rsidRPr="00461AEB" w:rsidRDefault="00EC5913" w:rsidP="00EC5913">
      <w:pPr>
        <w:spacing w:after="60"/>
        <w:ind w:right="-45"/>
        <w:jc w:val="left"/>
        <w:rPr>
          <w:color w:val="000000"/>
          <w:sz w:val="22"/>
          <w:szCs w:val="22"/>
        </w:rPr>
      </w:pPr>
      <w:r w:rsidRPr="00461AEB">
        <w:rPr>
          <w:color w:val="000000"/>
          <w:sz w:val="22"/>
          <w:szCs w:val="22"/>
        </w:rPr>
        <w:t>Social Security (Actuarial Certificate−Life Expectancy Income Stream Guidelines) Determination 2012 [F2012L02567]</w:t>
      </w:r>
    </w:p>
    <w:p w:rsidR="00EC5913" w:rsidRPr="00461AEB" w:rsidRDefault="00EC5913" w:rsidP="00EC5913">
      <w:pPr>
        <w:spacing w:after="0"/>
        <w:ind w:right="-46"/>
        <w:jc w:val="left"/>
        <w:rPr>
          <w:color w:val="000000"/>
          <w:sz w:val="22"/>
          <w:szCs w:val="22"/>
        </w:rPr>
      </w:pPr>
      <w:r w:rsidRPr="00461AEB">
        <w:rPr>
          <w:color w:val="000000"/>
          <w:sz w:val="22"/>
          <w:szCs w:val="22"/>
        </w:rPr>
        <w:t>Social Security (South Australian 'Individualised Funding') (DEEWR) Determination 2012 (No. 1) [F2013L00030]</w:t>
      </w:r>
    </w:p>
    <w:p w:rsidR="00EC5913" w:rsidRPr="00461AEB" w:rsidRDefault="00EC5913" w:rsidP="00EC5913">
      <w:pPr>
        <w:spacing w:after="0"/>
        <w:ind w:right="-46"/>
        <w:rPr>
          <w:color w:val="000000"/>
          <w:sz w:val="22"/>
          <w:szCs w:val="22"/>
        </w:rPr>
      </w:pPr>
    </w:p>
    <w:p w:rsidR="00EC5913" w:rsidRPr="00461AEB" w:rsidRDefault="00EC5913" w:rsidP="00EC5913">
      <w:pPr>
        <w:spacing w:after="120"/>
        <w:ind w:right="-45"/>
        <w:rPr>
          <w:color w:val="000000"/>
          <w:sz w:val="24"/>
          <w:szCs w:val="24"/>
        </w:rPr>
      </w:pPr>
      <w:r w:rsidRPr="00461AEB">
        <w:rPr>
          <w:b/>
          <w:i/>
          <w:color w:val="000000"/>
          <w:sz w:val="24"/>
          <w:szCs w:val="24"/>
        </w:rPr>
        <w:t>Social Security (Administration) Act 1999</w:t>
      </w:r>
    </w:p>
    <w:p w:rsidR="00EC5913" w:rsidRPr="00461AEB" w:rsidRDefault="00EC5913" w:rsidP="00EC5913">
      <w:pPr>
        <w:spacing w:after="0"/>
        <w:ind w:right="-46"/>
        <w:jc w:val="left"/>
        <w:rPr>
          <w:color w:val="000000"/>
          <w:sz w:val="22"/>
          <w:szCs w:val="22"/>
        </w:rPr>
      </w:pPr>
      <w:r w:rsidRPr="00461AEB">
        <w:rPr>
          <w:color w:val="000000"/>
          <w:sz w:val="22"/>
          <w:szCs w:val="22"/>
        </w:rPr>
        <w:t>Social Security (Administration) – Queensland Commission (Family Responsibilities Commission) Specification 2012 [F2012L02581]</w:t>
      </w:r>
    </w:p>
    <w:p w:rsidR="00EC5913" w:rsidRPr="00461AEB" w:rsidRDefault="00EC5913" w:rsidP="00EC5913">
      <w:pPr>
        <w:spacing w:after="0"/>
        <w:ind w:right="-46"/>
        <w:rPr>
          <w:color w:val="000000"/>
          <w:sz w:val="22"/>
          <w:szCs w:val="22"/>
        </w:rPr>
      </w:pPr>
    </w:p>
    <w:p w:rsidR="00EC5913" w:rsidRPr="00461AEB" w:rsidRDefault="00EC5913" w:rsidP="00EC5913">
      <w:pPr>
        <w:spacing w:after="120"/>
        <w:ind w:right="-45"/>
        <w:rPr>
          <w:color w:val="000000"/>
          <w:sz w:val="24"/>
          <w:szCs w:val="24"/>
        </w:rPr>
      </w:pPr>
      <w:r w:rsidRPr="00461AEB">
        <w:rPr>
          <w:b/>
          <w:i/>
          <w:color w:val="000000"/>
          <w:sz w:val="24"/>
          <w:szCs w:val="24"/>
        </w:rPr>
        <w:t>Student Assistance Act 1973</w:t>
      </w:r>
    </w:p>
    <w:p w:rsidR="00EC5913" w:rsidRDefault="00EC5913" w:rsidP="00EC5913">
      <w:pPr>
        <w:spacing w:after="0"/>
        <w:ind w:right="-46"/>
        <w:jc w:val="left"/>
        <w:rPr>
          <w:color w:val="000000"/>
          <w:sz w:val="22"/>
          <w:szCs w:val="22"/>
        </w:rPr>
      </w:pPr>
      <w:r w:rsidRPr="00461AEB">
        <w:rPr>
          <w:color w:val="000000"/>
          <w:sz w:val="22"/>
          <w:szCs w:val="22"/>
        </w:rPr>
        <w:t>Student Assistance (Education Institutions and Courses) Amendment Determination 2012 (No. 1) [F2012L02588]</w:t>
      </w:r>
    </w:p>
    <w:p w:rsidR="00EC5913" w:rsidRPr="00461AEB" w:rsidRDefault="00EC5913" w:rsidP="00EC5913">
      <w:pPr>
        <w:spacing w:after="0"/>
        <w:ind w:right="-46"/>
        <w:jc w:val="left"/>
        <w:rPr>
          <w:color w:val="000000"/>
          <w:sz w:val="22"/>
          <w:szCs w:val="22"/>
        </w:rPr>
      </w:pPr>
    </w:p>
    <w:p w:rsidR="00EC5913" w:rsidRPr="00461AEB" w:rsidRDefault="00EC5913" w:rsidP="00EC5913">
      <w:pPr>
        <w:spacing w:after="120"/>
        <w:ind w:right="-45"/>
        <w:rPr>
          <w:color w:val="000000"/>
          <w:sz w:val="24"/>
          <w:szCs w:val="24"/>
        </w:rPr>
      </w:pPr>
      <w:r w:rsidRPr="00461AEB">
        <w:rPr>
          <w:b/>
          <w:i/>
          <w:color w:val="000000"/>
          <w:sz w:val="24"/>
          <w:szCs w:val="24"/>
        </w:rPr>
        <w:t>Superannuation Act 2005</w:t>
      </w:r>
    </w:p>
    <w:p w:rsidR="00EC5913" w:rsidRPr="00461AEB" w:rsidRDefault="00EC5913" w:rsidP="00EC5913">
      <w:pPr>
        <w:spacing w:after="0"/>
        <w:ind w:right="-46"/>
        <w:jc w:val="left"/>
        <w:rPr>
          <w:color w:val="000000"/>
          <w:sz w:val="22"/>
          <w:szCs w:val="22"/>
        </w:rPr>
      </w:pPr>
      <w:r w:rsidRPr="00461AEB">
        <w:rPr>
          <w:color w:val="000000"/>
          <w:sz w:val="22"/>
          <w:szCs w:val="22"/>
        </w:rPr>
        <w:t>Superannuation Act 2005 – Seventh Amendment of the Deed to Establish the Public Sector Superannuation Accumulation Plan [F2013L00027]</w:t>
      </w:r>
    </w:p>
    <w:p w:rsidR="00EC5913" w:rsidRPr="00461AEB" w:rsidRDefault="00EC5913" w:rsidP="00EC5913">
      <w:pPr>
        <w:spacing w:after="0"/>
        <w:ind w:right="-46"/>
        <w:rPr>
          <w:color w:val="000000"/>
          <w:sz w:val="22"/>
          <w:szCs w:val="22"/>
        </w:rPr>
      </w:pPr>
    </w:p>
    <w:p w:rsidR="00EC5913" w:rsidRPr="00461AEB" w:rsidRDefault="00EC5913" w:rsidP="00EC5913">
      <w:pPr>
        <w:spacing w:after="120"/>
        <w:ind w:right="-45"/>
        <w:rPr>
          <w:sz w:val="24"/>
          <w:szCs w:val="24"/>
        </w:rPr>
      </w:pPr>
      <w:r w:rsidRPr="00461AEB">
        <w:rPr>
          <w:b/>
          <w:i/>
          <w:sz w:val="24"/>
          <w:szCs w:val="24"/>
        </w:rPr>
        <w:lastRenderedPageBreak/>
        <w:t>Superannuation Industry (Supervision) Act 1993</w:t>
      </w:r>
    </w:p>
    <w:p w:rsidR="00EC5913" w:rsidRPr="00461AEB" w:rsidRDefault="00EC5913" w:rsidP="00EC5913">
      <w:pPr>
        <w:spacing w:after="60"/>
        <w:ind w:right="-45"/>
        <w:jc w:val="left"/>
        <w:rPr>
          <w:color w:val="000000"/>
          <w:sz w:val="22"/>
          <w:szCs w:val="22"/>
        </w:rPr>
      </w:pPr>
      <w:r w:rsidRPr="00461AEB">
        <w:rPr>
          <w:color w:val="000000"/>
          <w:sz w:val="22"/>
          <w:szCs w:val="22"/>
        </w:rPr>
        <w:t>ASIC Class Order [CO 12/1687] [F2012L02497]</w:t>
      </w:r>
    </w:p>
    <w:p w:rsidR="00EC5913" w:rsidRPr="00461AEB" w:rsidRDefault="00EC5913" w:rsidP="00EC5913">
      <w:pPr>
        <w:spacing w:after="0"/>
        <w:ind w:right="-46"/>
        <w:jc w:val="left"/>
        <w:rPr>
          <w:color w:val="000000"/>
          <w:sz w:val="22"/>
          <w:szCs w:val="22"/>
        </w:rPr>
      </w:pPr>
      <w:r w:rsidRPr="00461AEB">
        <w:rPr>
          <w:color w:val="000000"/>
          <w:sz w:val="22"/>
          <w:szCs w:val="22"/>
        </w:rPr>
        <w:t>Superannuation (prudential standard) determination No. 9 of 2012 - Prudential Standard SPS 410 - MySuper Transition [F2012L02509]</w:t>
      </w:r>
    </w:p>
    <w:p w:rsidR="00EC5913" w:rsidRPr="00461AEB" w:rsidRDefault="00EC5913" w:rsidP="00EC5913">
      <w:pPr>
        <w:spacing w:after="0"/>
        <w:ind w:right="-46"/>
        <w:rPr>
          <w:sz w:val="22"/>
          <w:szCs w:val="22"/>
        </w:rPr>
      </w:pPr>
    </w:p>
    <w:p w:rsidR="00EC5913" w:rsidRPr="00461AEB" w:rsidRDefault="00EC5913" w:rsidP="00EC5913">
      <w:pPr>
        <w:spacing w:after="120"/>
        <w:ind w:right="-45"/>
        <w:rPr>
          <w:sz w:val="24"/>
          <w:szCs w:val="24"/>
        </w:rPr>
      </w:pPr>
      <w:r w:rsidRPr="00461AEB">
        <w:rPr>
          <w:b/>
          <w:i/>
          <w:sz w:val="24"/>
          <w:szCs w:val="24"/>
        </w:rPr>
        <w:t>Superannuation (Productivity Benefit) Act 1988</w:t>
      </w:r>
    </w:p>
    <w:p w:rsidR="00EC5913" w:rsidRPr="00461AEB" w:rsidRDefault="00EC5913" w:rsidP="00EC5913">
      <w:pPr>
        <w:spacing w:after="60"/>
        <w:ind w:right="-45"/>
        <w:jc w:val="left"/>
        <w:rPr>
          <w:color w:val="000000"/>
          <w:sz w:val="22"/>
          <w:szCs w:val="22"/>
        </w:rPr>
      </w:pPr>
      <w:r w:rsidRPr="00461AEB">
        <w:rPr>
          <w:color w:val="000000"/>
          <w:sz w:val="22"/>
          <w:szCs w:val="22"/>
        </w:rPr>
        <w:t>Superannuation (Productivity Benefit) (Nominated Fund) Declaration 2012 [F2012L02559]</w:t>
      </w:r>
    </w:p>
    <w:p w:rsidR="00EC5913" w:rsidRPr="00461AEB" w:rsidRDefault="00EC5913" w:rsidP="00EC5913">
      <w:pPr>
        <w:spacing w:after="0"/>
        <w:ind w:right="-46"/>
        <w:jc w:val="left"/>
        <w:rPr>
          <w:color w:val="000000"/>
          <w:sz w:val="22"/>
          <w:szCs w:val="22"/>
        </w:rPr>
      </w:pPr>
      <w:r w:rsidRPr="00461AEB">
        <w:rPr>
          <w:color w:val="000000"/>
          <w:sz w:val="22"/>
          <w:szCs w:val="22"/>
        </w:rPr>
        <w:t>Superannuation (Qualified Employees Exclusion) Declaration 2012 [F2013L00026]</w:t>
      </w:r>
    </w:p>
    <w:p w:rsidR="00EC5913" w:rsidRPr="00461AEB" w:rsidRDefault="00EC5913" w:rsidP="00EC5913">
      <w:pPr>
        <w:spacing w:after="0"/>
        <w:ind w:right="-46"/>
        <w:rPr>
          <w:sz w:val="22"/>
          <w:szCs w:val="22"/>
        </w:rPr>
      </w:pPr>
    </w:p>
    <w:p w:rsidR="00EC5913" w:rsidRPr="009531B6" w:rsidRDefault="00EC5913" w:rsidP="00EC5913">
      <w:pPr>
        <w:spacing w:after="120"/>
        <w:ind w:right="-45"/>
        <w:rPr>
          <w:sz w:val="24"/>
          <w:szCs w:val="24"/>
        </w:rPr>
      </w:pPr>
      <w:r w:rsidRPr="009531B6">
        <w:rPr>
          <w:b/>
          <w:i/>
          <w:sz w:val="24"/>
          <w:szCs w:val="24"/>
        </w:rPr>
        <w:t>Telecommunications (Interception and Access) Act 1979</w:t>
      </w:r>
    </w:p>
    <w:p w:rsidR="00EC5913" w:rsidRPr="009531B6" w:rsidRDefault="00EC5913" w:rsidP="00EC5913">
      <w:pPr>
        <w:spacing w:after="60"/>
        <w:ind w:right="-45"/>
        <w:jc w:val="left"/>
        <w:rPr>
          <w:color w:val="000000"/>
          <w:sz w:val="22"/>
          <w:szCs w:val="22"/>
        </w:rPr>
      </w:pPr>
      <w:r w:rsidRPr="009531B6">
        <w:rPr>
          <w:color w:val="000000"/>
          <w:sz w:val="22"/>
          <w:szCs w:val="22"/>
        </w:rPr>
        <w:t>Telecommunications (Interception and Access) (Emergency Services Facilities – Australian Capital Territory) Instrument 2012 (No. 2) [F2012L02591]</w:t>
      </w:r>
    </w:p>
    <w:p w:rsidR="00EC5913" w:rsidRPr="009531B6" w:rsidRDefault="00EC5913" w:rsidP="00EC5913">
      <w:pPr>
        <w:spacing w:after="0"/>
        <w:ind w:right="-46"/>
        <w:jc w:val="left"/>
        <w:rPr>
          <w:color w:val="000000"/>
          <w:sz w:val="22"/>
          <w:szCs w:val="22"/>
        </w:rPr>
      </w:pPr>
      <w:r w:rsidRPr="009531B6">
        <w:rPr>
          <w:color w:val="000000"/>
          <w:sz w:val="22"/>
          <w:szCs w:val="22"/>
        </w:rPr>
        <w:t>Telecommunications (Interception and Access-Independent Broad-based Anti-corruption Commission of Victoria) Declaration 2012 [F2012L02551]</w:t>
      </w:r>
    </w:p>
    <w:p w:rsidR="00EC5913" w:rsidRPr="009531B6" w:rsidRDefault="00EC5913" w:rsidP="00EC5913">
      <w:pPr>
        <w:spacing w:after="0"/>
        <w:ind w:right="-46"/>
        <w:rPr>
          <w:sz w:val="22"/>
          <w:szCs w:val="22"/>
        </w:rPr>
      </w:pPr>
    </w:p>
    <w:p w:rsidR="00EC5913" w:rsidRPr="009531B6" w:rsidRDefault="00EC5913" w:rsidP="00EC5913">
      <w:pPr>
        <w:spacing w:after="120"/>
        <w:ind w:right="-45"/>
        <w:rPr>
          <w:sz w:val="24"/>
          <w:szCs w:val="24"/>
        </w:rPr>
      </w:pPr>
      <w:r w:rsidRPr="009531B6">
        <w:rPr>
          <w:b/>
          <w:i/>
          <w:sz w:val="24"/>
          <w:szCs w:val="24"/>
        </w:rPr>
        <w:t>Telecommunications Act 1997</w:t>
      </w:r>
    </w:p>
    <w:p w:rsidR="00EC5913" w:rsidRPr="009531B6" w:rsidRDefault="00EC5913" w:rsidP="00EC5913">
      <w:pPr>
        <w:spacing w:after="0"/>
        <w:ind w:right="-46"/>
        <w:jc w:val="left"/>
        <w:rPr>
          <w:color w:val="000000"/>
          <w:sz w:val="22"/>
          <w:szCs w:val="22"/>
        </w:rPr>
      </w:pPr>
      <w:r w:rsidRPr="009531B6">
        <w:rPr>
          <w:color w:val="000000"/>
          <w:sz w:val="22"/>
          <w:szCs w:val="22"/>
        </w:rPr>
        <w:t>Telecommunications Technical Standard (Requirements for Customer Equipment for connection to a metallic local loop interface of a Telecommunications Network - Part 2: Broadband - AS/ACIF S043.2:2008) Amendment 2012 (No. 1) [F2012L02533]</w:t>
      </w:r>
    </w:p>
    <w:p w:rsidR="00EC5913" w:rsidRPr="009531B6" w:rsidRDefault="00EC5913" w:rsidP="00EC5913">
      <w:pPr>
        <w:spacing w:after="0"/>
        <w:ind w:right="-46"/>
        <w:rPr>
          <w:color w:val="000000"/>
          <w:sz w:val="22"/>
          <w:szCs w:val="22"/>
        </w:rPr>
      </w:pPr>
    </w:p>
    <w:p w:rsidR="00EC5913" w:rsidRPr="009531B6" w:rsidRDefault="00EC5913" w:rsidP="00EC5913">
      <w:pPr>
        <w:spacing w:after="120"/>
        <w:ind w:right="-45"/>
        <w:rPr>
          <w:sz w:val="24"/>
          <w:szCs w:val="24"/>
        </w:rPr>
      </w:pPr>
      <w:r w:rsidRPr="009531B6">
        <w:rPr>
          <w:b/>
          <w:i/>
          <w:sz w:val="24"/>
          <w:szCs w:val="24"/>
        </w:rPr>
        <w:t>Therapeutic Goods Act 1989</w:t>
      </w:r>
    </w:p>
    <w:p w:rsidR="00EC5913" w:rsidRPr="009531B6" w:rsidRDefault="00EC5913" w:rsidP="00EC5913">
      <w:pPr>
        <w:spacing w:after="60"/>
        <w:ind w:right="-45"/>
        <w:jc w:val="left"/>
        <w:rPr>
          <w:sz w:val="22"/>
          <w:szCs w:val="22"/>
        </w:rPr>
      </w:pPr>
      <w:r w:rsidRPr="009531B6">
        <w:rPr>
          <w:sz w:val="22"/>
          <w:szCs w:val="22"/>
        </w:rPr>
        <w:t>Therapeutic Goods (Listing) Notice 2012 (No. 4) [F2013L00014]</w:t>
      </w:r>
    </w:p>
    <w:p w:rsidR="00EC5913" w:rsidRPr="009531B6" w:rsidRDefault="00EC5913" w:rsidP="00EC5913">
      <w:pPr>
        <w:spacing w:after="0"/>
        <w:ind w:right="-46"/>
        <w:jc w:val="left"/>
        <w:rPr>
          <w:sz w:val="22"/>
          <w:szCs w:val="22"/>
        </w:rPr>
      </w:pPr>
      <w:r w:rsidRPr="009531B6">
        <w:rPr>
          <w:sz w:val="22"/>
          <w:szCs w:val="22"/>
        </w:rPr>
        <w:t>Therapeutic Goods (Listing) Notice 2012 (No. 5) [F2013L00015]</w:t>
      </w:r>
    </w:p>
    <w:p w:rsidR="00EC5913" w:rsidRPr="009531B6" w:rsidRDefault="00EC5913" w:rsidP="00EC5913">
      <w:pPr>
        <w:spacing w:after="0"/>
        <w:ind w:right="-46"/>
        <w:rPr>
          <w:sz w:val="22"/>
          <w:szCs w:val="22"/>
        </w:rPr>
      </w:pPr>
    </w:p>
    <w:p w:rsidR="00EC5913" w:rsidRPr="009531B6" w:rsidRDefault="00EC5913" w:rsidP="00EC5913">
      <w:pPr>
        <w:spacing w:after="120"/>
        <w:ind w:right="-45"/>
        <w:rPr>
          <w:sz w:val="24"/>
          <w:szCs w:val="24"/>
        </w:rPr>
      </w:pPr>
      <w:r w:rsidRPr="009531B6">
        <w:rPr>
          <w:b/>
          <w:i/>
          <w:sz w:val="24"/>
          <w:szCs w:val="24"/>
        </w:rPr>
        <w:t>Veterans' Entitlements Act 1986</w:t>
      </w:r>
    </w:p>
    <w:p w:rsidR="00EC5913" w:rsidRPr="009531B6" w:rsidRDefault="00EC5913" w:rsidP="00EC5913">
      <w:pPr>
        <w:spacing w:after="60"/>
        <w:ind w:right="-45"/>
        <w:jc w:val="left"/>
        <w:rPr>
          <w:sz w:val="22"/>
          <w:szCs w:val="22"/>
        </w:rPr>
      </w:pPr>
      <w:r w:rsidRPr="009531B6">
        <w:rPr>
          <w:sz w:val="22"/>
          <w:szCs w:val="22"/>
        </w:rPr>
        <w:t>Statement of Principles concerning adenocarcinoma of the kidney No. 9 of 2013 [F2013L00024]</w:t>
      </w:r>
    </w:p>
    <w:p w:rsidR="00EC5913" w:rsidRPr="009531B6" w:rsidRDefault="00EC5913" w:rsidP="00EC5913">
      <w:pPr>
        <w:spacing w:after="60"/>
        <w:ind w:right="-45"/>
        <w:jc w:val="left"/>
        <w:rPr>
          <w:sz w:val="22"/>
          <w:szCs w:val="22"/>
        </w:rPr>
      </w:pPr>
      <w:r w:rsidRPr="009531B6">
        <w:rPr>
          <w:sz w:val="22"/>
          <w:szCs w:val="22"/>
        </w:rPr>
        <w:t>Statement of Principles concerning adenocarcinoma of the kidney No. 10 of 2013 [F2013L00025]</w:t>
      </w:r>
    </w:p>
    <w:p w:rsidR="00EC5913" w:rsidRPr="009531B6" w:rsidRDefault="00EC5913" w:rsidP="00EC5913">
      <w:pPr>
        <w:spacing w:after="60"/>
        <w:ind w:right="-45"/>
        <w:jc w:val="left"/>
        <w:rPr>
          <w:sz w:val="22"/>
          <w:szCs w:val="22"/>
        </w:rPr>
      </w:pPr>
      <w:r w:rsidRPr="009531B6">
        <w:rPr>
          <w:sz w:val="22"/>
          <w:szCs w:val="22"/>
        </w:rPr>
        <w:t>Statement of Principles concerning ankylosing spondylitis No. 3 of 2013 [F2013L00018]</w:t>
      </w:r>
    </w:p>
    <w:p w:rsidR="00EC5913" w:rsidRPr="009531B6" w:rsidRDefault="00EC5913" w:rsidP="00EC5913">
      <w:pPr>
        <w:spacing w:after="60"/>
        <w:ind w:right="-45"/>
        <w:jc w:val="left"/>
        <w:rPr>
          <w:sz w:val="22"/>
          <w:szCs w:val="22"/>
        </w:rPr>
      </w:pPr>
      <w:r w:rsidRPr="009531B6">
        <w:rPr>
          <w:sz w:val="22"/>
          <w:szCs w:val="22"/>
        </w:rPr>
        <w:t>Statement of Principles concerning ankylosing spondylitis No. 4 of 2013 [F2013L00019]</w:t>
      </w:r>
    </w:p>
    <w:p w:rsidR="00EC5913" w:rsidRPr="009531B6" w:rsidRDefault="00EC5913" w:rsidP="00EC5913">
      <w:pPr>
        <w:spacing w:after="60"/>
        <w:ind w:right="-45"/>
        <w:jc w:val="left"/>
        <w:rPr>
          <w:sz w:val="22"/>
          <w:szCs w:val="22"/>
        </w:rPr>
      </w:pPr>
      <w:r w:rsidRPr="009531B6">
        <w:rPr>
          <w:sz w:val="22"/>
          <w:szCs w:val="22"/>
        </w:rPr>
        <w:t>Statement of Principles concerning carpal tunnel syndrome No. 7 of 2013 [F2013L00022]</w:t>
      </w:r>
    </w:p>
    <w:p w:rsidR="00EC5913" w:rsidRPr="009531B6" w:rsidRDefault="00EC5913" w:rsidP="00EC5913">
      <w:pPr>
        <w:spacing w:after="60"/>
        <w:ind w:right="-45"/>
        <w:jc w:val="left"/>
        <w:rPr>
          <w:sz w:val="22"/>
          <w:szCs w:val="22"/>
        </w:rPr>
      </w:pPr>
      <w:r w:rsidRPr="009531B6">
        <w:rPr>
          <w:sz w:val="22"/>
          <w:szCs w:val="22"/>
        </w:rPr>
        <w:t>Statement of Principles concerning carpal tunnel syndrome No. 8 of 2013 [F2013L00023]</w:t>
      </w:r>
    </w:p>
    <w:p w:rsidR="00EC5913" w:rsidRPr="009531B6" w:rsidRDefault="00EC5913" w:rsidP="00EC5913">
      <w:pPr>
        <w:spacing w:after="60"/>
        <w:ind w:right="-45"/>
        <w:jc w:val="left"/>
        <w:rPr>
          <w:sz w:val="22"/>
          <w:szCs w:val="22"/>
        </w:rPr>
      </w:pPr>
      <w:r w:rsidRPr="009531B6">
        <w:rPr>
          <w:sz w:val="22"/>
          <w:szCs w:val="22"/>
        </w:rPr>
        <w:t>Statement of Principles concerning inguinal hernia No. 5 of 2013 [F2013L00020]</w:t>
      </w:r>
    </w:p>
    <w:p w:rsidR="00EC5913" w:rsidRPr="009531B6" w:rsidRDefault="00EC5913" w:rsidP="00EC5913">
      <w:pPr>
        <w:spacing w:after="60"/>
        <w:ind w:right="-45"/>
        <w:jc w:val="left"/>
        <w:rPr>
          <w:sz w:val="22"/>
          <w:szCs w:val="22"/>
        </w:rPr>
      </w:pPr>
      <w:r w:rsidRPr="009531B6">
        <w:rPr>
          <w:sz w:val="22"/>
          <w:szCs w:val="22"/>
        </w:rPr>
        <w:t>Statement of Principles concerning inguinal hernia No. 6 of 2013 [F2013L00021]</w:t>
      </w:r>
    </w:p>
    <w:p w:rsidR="00EC5913" w:rsidRPr="009531B6" w:rsidRDefault="00EC5913" w:rsidP="00EC5913">
      <w:pPr>
        <w:spacing w:after="60"/>
        <w:ind w:right="-45"/>
        <w:jc w:val="left"/>
        <w:rPr>
          <w:sz w:val="22"/>
          <w:szCs w:val="22"/>
        </w:rPr>
      </w:pPr>
      <w:r w:rsidRPr="009531B6">
        <w:rPr>
          <w:sz w:val="22"/>
          <w:szCs w:val="22"/>
        </w:rPr>
        <w:t>Statement of Principles concerning malignant neoplasm of the oral cavity, oropharynx and hypopharynx No. 1 of 2013 [F2013L00016]</w:t>
      </w:r>
    </w:p>
    <w:p w:rsidR="00EC5913" w:rsidRPr="009531B6" w:rsidRDefault="00EC5913" w:rsidP="00EC5913">
      <w:pPr>
        <w:spacing w:after="0"/>
        <w:ind w:right="-46"/>
        <w:jc w:val="left"/>
        <w:rPr>
          <w:sz w:val="22"/>
          <w:szCs w:val="22"/>
        </w:rPr>
      </w:pPr>
      <w:r w:rsidRPr="009531B6">
        <w:rPr>
          <w:sz w:val="22"/>
          <w:szCs w:val="22"/>
        </w:rPr>
        <w:t>Statement of Principles concerning malignant neoplasm of the oral cavity, oropharynx and hypopharynx No. 2 of 2013 [F2013L00017]</w:t>
      </w:r>
    </w:p>
    <w:p w:rsidR="00EC5913" w:rsidRPr="009531B6" w:rsidRDefault="00EC5913" w:rsidP="00EC5913">
      <w:pPr>
        <w:spacing w:after="0"/>
        <w:ind w:right="-46"/>
        <w:rPr>
          <w:sz w:val="22"/>
          <w:szCs w:val="22"/>
        </w:rPr>
      </w:pPr>
    </w:p>
    <w:p w:rsidR="00EC5913" w:rsidRPr="009531B6" w:rsidRDefault="00EC5913" w:rsidP="00EC5913">
      <w:pPr>
        <w:spacing w:after="120"/>
        <w:ind w:right="-45"/>
        <w:rPr>
          <w:b/>
          <w:i/>
          <w:sz w:val="24"/>
          <w:szCs w:val="24"/>
        </w:rPr>
      </w:pPr>
      <w:r w:rsidRPr="009531B6">
        <w:rPr>
          <w:b/>
          <w:i/>
          <w:sz w:val="24"/>
          <w:szCs w:val="24"/>
        </w:rPr>
        <w:t>Work Health and Safety Act 2011</w:t>
      </w:r>
    </w:p>
    <w:p w:rsidR="00EC5913" w:rsidRPr="009531B6" w:rsidRDefault="00EC5913" w:rsidP="00EC5913">
      <w:pPr>
        <w:spacing w:after="0"/>
        <w:ind w:right="-46"/>
        <w:jc w:val="left"/>
        <w:rPr>
          <w:color w:val="000000"/>
          <w:sz w:val="22"/>
          <w:szCs w:val="22"/>
        </w:rPr>
      </w:pPr>
      <w:r w:rsidRPr="009531B6">
        <w:rPr>
          <w:color w:val="000000"/>
          <w:sz w:val="22"/>
          <w:szCs w:val="22"/>
        </w:rPr>
        <w:t>Work Health and Safety Act 2011 (application to Defence activities and Defence members) Declaration 2012 [F2012L02503]</w:t>
      </w:r>
    </w:p>
    <w:p w:rsidR="00EC5913" w:rsidRPr="009531B6" w:rsidRDefault="00EC5913" w:rsidP="00EC5913">
      <w:pPr>
        <w:spacing w:after="0"/>
        <w:ind w:right="-46"/>
        <w:rPr>
          <w:color w:val="000000"/>
          <w:sz w:val="22"/>
          <w:szCs w:val="22"/>
        </w:rPr>
      </w:pPr>
    </w:p>
    <w:p w:rsidR="00EC5913" w:rsidRDefault="00EC5913" w:rsidP="00EC5913">
      <w:pPr>
        <w:spacing w:after="0"/>
        <w:jc w:val="left"/>
        <w:rPr>
          <w:b/>
          <w:sz w:val="28"/>
          <w:u w:val="single"/>
        </w:rPr>
      </w:pPr>
      <w:r>
        <w:rPr>
          <w:u w:val="single"/>
        </w:rPr>
        <w:br w:type="page"/>
      </w:r>
    </w:p>
    <w:p w:rsidR="00EC5913" w:rsidRPr="00C45C72" w:rsidRDefault="00EC5913" w:rsidP="00EC5913">
      <w:pPr>
        <w:pStyle w:val="Heading3"/>
        <w:tabs>
          <w:tab w:val="left" w:pos="284"/>
        </w:tabs>
        <w:spacing w:before="0" w:after="240"/>
        <w:jc w:val="center"/>
        <w:rPr>
          <w:u w:val="single"/>
        </w:rPr>
      </w:pPr>
      <w:r w:rsidRPr="00C45C72">
        <w:rPr>
          <w:u w:val="single"/>
        </w:rPr>
        <w:lastRenderedPageBreak/>
        <w:t xml:space="preserve">Instrument received week ending </w:t>
      </w:r>
      <w:r>
        <w:rPr>
          <w:u w:val="single"/>
        </w:rPr>
        <w:t>18 January 2013</w:t>
      </w:r>
    </w:p>
    <w:p w:rsidR="00EC5913" w:rsidRPr="00573AC7" w:rsidRDefault="00EC5913" w:rsidP="00EC5913">
      <w:pPr>
        <w:spacing w:after="120"/>
        <w:ind w:right="-45"/>
        <w:rPr>
          <w:sz w:val="24"/>
          <w:szCs w:val="24"/>
        </w:rPr>
      </w:pPr>
      <w:r w:rsidRPr="00573AC7">
        <w:rPr>
          <w:b/>
          <w:i/>
          <w:sz w:val="24"/>
          <w:szCs w:val="24"/>
        </w:rPr>
        <w:t>Work Health and Safety Act 2011</w:t>
      </w:r>
    </w:p>
    <w:p w:rsidR="00EC5913" w:rsidRPr="00573AC7" w:rsidRDefault="00EC5913" w:rsidP="00EC5913">
      <w:pPr>
        <w:spacing w:after="0"/>
        <w:ind w:right="-46"/>
        <w:jc w:val="left"/>
        <w:rPr>
          <w:color w:val="000000"/>
          <w:sz w:val="22"/>
          <w:szCs w:val="22"/>
        </w:rPr>
      </w:pPr>
      <w:r w:rsidRPr="00573AC7">
        <w:rPr>
          <w:color w:val="000000"/>
          <w:sz w:val="22"/>
          <w:szCs w:val="22"/>
        </w:rPr>
        <w:t>Work Health and Safety Codes of Practice 2012 [F2012L02522]</w:t>
      </w:r>
    </w:p>
    <w:p w:rsidR="00EC5913" w:rsidRPr="00C45C72" w:rsidRDefault="00EC5913" w:rsidP="003F17A2">
      <w:pPr>
        <w:pStyle w:val="Heading3"/>
        <w:tabs>
          <w:tab w:val="left" w:pos="284"/>
        </w:tabs>
        <w:spacing w:before="240" w:after="240"/>
        <w:jc w:val="center"/>
        <w:rPr>
          <w:u w:val="single"/>
        </w:rPr>
      </w:pPr>
      <w:r w:rsidRPr="00C45C72">
        <w:rPr>
          <w:u w:val="single"/>
        </w:rPr>
        <w:t xml:space="preserve">Instruments received week ending </w:t>
      </w:r>
      <w:r>
        <w:rPr>
          <w:u w:val="single"/>
        </w:rPr>
        <w:t>25 January 2013</w:t>
      </w:r>
    </w:p>
    <w:p w:rsidR="00EC5913" w:rsidRPr="00573AC7" w:rsidRDefault="00EC5913" w:rsidP="00EC5913">
      <w:pPr>
        <w:spacing w:after="120"/>
        <w:ind w:right="-45"/>
        <w:rPr>
          <w:sz w:val="24"/>
          <w:szCs w:val="24"/>
        </w:rPr>
      </w:pPr>
      <w:r w:rsidRPr="00573AC7">
        <w:rPr>
          <w:b/>
          <w:i/>
          <w:sz w:val="24"/>
          <w:szCs w:val="24"/>
        </w:rPr>
        <w:t>Aged Care Act 1997</w:t>
      </w:r>
    </w:p>
    <w:p w:rsidR="00EC5913" w:rsidRPr="00573AC7" w:rsidRDefault="00EC5913" w:rsidP="00EC5913">
      <w:pPr>
        <w:spacing w:after="0"/>
        <w:ind w:right="-46"/>
        <w:jc w:val="left"/>
        <w:rPr>
          <w:color w:val="000000"/>
          <w:sz w:val="22"/>
          <w:szCs w:val="22"/>
        </w:rPr>
      </w:pPr>
      <w:r w:rsidRPr="00573AC7">
        <w:rPr>
          <w:color w:val="000000"/>
          <w:sz w:val="22"/>
          <w:szCs w:val="22"/>
        </w:rPr>
        <w:t>Classification Amendment Principles 2013 (No. 1) [F2013L00074]</w:t>
      </w:r>
    </w:p>
    <w:p w:rsidR="00EC5913" w:rsidRPr="00573AC7" w:rsidRDefault="00EC5913" w:rsidP="00EC5913">
      <w:pPr>
        <w:spacing w:after="0"/>
        <w:ind w:right="-46"/>
        <w:rPr>
          <w:color w:val="000000"/>
          <w:sz w:val="22"/>
          <w:szCs w:val="22"/>
        </w:rPr>
      </w:pPr>
    </w:p>
    <w:p w:rsidR="00EC5913" w:rsidRPr="00F5071E" w:rsidRDefault="00EC5913" w:rsidP="00EC5913">
      <w:pPr>
        <w:spacing w:after="120"/>
        <w:ind w:right="-45"/>
        <w:rPr>
          <w:b/>
        </w:rPr>
      </w:pPr>
      <w:r w:rsidRPr="00F5071E">
        <w:rPr>
          <w:b/>
          <w:i/>
        </w:rPr>
        <w:t>Broadcasting Services Act 1992</w:t>
      </w:r>
    </w:p>
    <w:p w:rsidR="00EC5913" w:rsidRPr="00573AC7" w:rsidRDefault="00EC5913" w:rsidP="00EC5913">
      <w:pPr>
        <w:spacing w:after="0"/>
        <w:ind w:right="-46"/>
        <w:jc w:val="left"/>
        <w:rPr>
          <w:color w:val="000000"/>
          <w:sz w:val="22"/>
          <w:szCs w:val="22"/>
        </w:rPr>
      </w:pPr>
      <w:r w:rsidRPr="00573AC7">
        <w:rPr>
          <w:color w:val="000000"/>
          <w:sz w:val="22"/>
          <w:szCs w:val="22"/>
        </w:rPr>
        <w:t>Broadcasting Services (Digital-Only Local Market Areas for the Remote Central and Eastern Australia TV1, Remote Central and Eastern Australia TV2, Remote and Regional WA TV1 and Western Zone TV1 Licence Areas) Determination (No. 1) 2013 [F2013L00056]</w:t>
      </w:r>
    </w:p>
    <w:p w:rsidR="00EC5913" w:rsidRPr="00573AC7" w:rsidRDefault="00EC5913" w:rsidP="00EC5913">
      <w:pPr>
        <w:spacing w:after="0"/>
        <w:ind w:right="-46"/>
        <w:rPr>
          <w:color w:val="000000"/>
          <w:sz w:val="22"/>
          <w:szCs w:val="22"/>
        </w:rPr>
      </w:pPr>
    </w:p>
    <w:p w:rsidR="00EC5913" w:rsidRPr="00573AC7" w:rsidRDefault="00EC5913" w:rsidP="00EC5913">
      <w:pPr>
        <w:spacing w:after="120"/>
        <w:ind w:right="-45"/>
        <w:rPr>
          <w:sz w:val="24"/>
          <w:szCs w:val="24"/>
        </w:rPr>
      </w:pPr>
      <w:r w:rsidRPr="00573AC7">
        <w:rPr>
          <w:b/>
          <w:i/>
          <w:sz w:val="24"/>
          <w:szCs w:val="24"/>
        </w:rPr>
        <w:t>Civil Aviation Act 1988</w:t>
      </w:r>
    </w:p>
    <w:p w:rsidR="00EC5913" w:rsidRPr="00573AC7" w:rsidRDefault="00EC5913" w:rsidP="00EC5913">
      <w:pPr>
        <w:spacing w:after="60"/>
        <w:ind w:right="-45"/>
        <w:jc w:val="left"/>
        <w:rPr>
          <w:color w:val="000000"/>
          <w:sz w:val="22"/>
          <w:szCs w:val="22"/>
        </w:rPr>
      </w:pPr>
      <w:r w:rsidRPr="00573AC7">
        <w:rPr>
          <w:color w:val="000000"/>
          <w:sz w:val="22"/>
          <w:szCs w:val="22"/>
        </w:rPr>
        <w:t>CASA ADCX 001/13 - Revocation of Airworthiness Directives [F2013L00063]</w:t>
      </w:r>
    </w:p>
    <w:p w:rsidR="00EC5913" w:rsidRPr="00573AC7" w:rsidRDefault="00EC5913" w:rsidP="00EC5913">
      <w:pPr>
        <w:spacing w:after="60"/>
        <w:ind w:right="-45"/>
        <w:jc w:val="left"/>
        <w:rPr>
          <w:color w:val="000000"/>
          <w:sz w:val="22"/>
          <w:szCs w:val="22"/>
        </w:rPr>
      </w:pPr>
      <w:r w:rsidRPr="00573AC7">
        <w:rPr>
          <w:color w:val="000000"/>
          <w:sz w:val="22"/>
          <w:szCs w:val="22"/>
        </w:rPr>
        <w:t>CASA EX02/13 - Exemption - use of ADS-B in aircraft operated by Hi Fly, Lisbon, Portugal [F2013L00066]</w:t>
      </w:r>
    </w:p>
    <w:p w:rsidR="00EC5913" w:rsidRPr="00573AC7" w:rsidRDefault="00EC5913" w:rsidP="00EC5913">
      <w:pPr>
        <w:spacing w:after="60"/>
        <w:ind w:right="-45"/>
        <w:jc w:val="left"/>
        <w:rPr>
          <w:color w:val="000000"/>
          <w:sz w:val="22"/>
          <w:szCs w:val="22"/>
        </w:rPr>
      </w:pPr>
      <w:r w:rsidRPr="00573AC7">
        <w:rPr>
          <w:color w:val="000000"/>
          <w:sz w:val="22"/>
          <w:szCs w:val="22"/>
        </w:rPr>
        <w:t>CASA EX03/13 - Exemption — recency requirements for night flying for F100 aircraft (Network Aviation Pty Ltd) [F2013L00068]</w:t>
      </w:r>
    </w:p>
    <w:p w:rsidR="00EC5913" w:rsidRPr="00573AC7" w:rsidRDefault="00EC5913" w:rsidP="00EC5913">
      <w:pPr>
        <w:spacing w:after="60"/>
        <w:ind w:right="-45"/>
        <w:jc w:val="left"/>
        <w:rPr>
          <w:color w:val="000000"/>
          <w:sz w:val="22"/>
          <w:szCs w:val="22"/>
        </w:rPr>
      </w:pPr>
      <w:r w:rsidRPr="00573AC7">
        <w:rPr>
          <w:color w:val="000000"/>
          <w:sz w:val="22"/>
          <w:szCs w:val="22"/>
        </w:rPr>
        <w:t>CASA EX04/13 - Exemption — recency requirements for night flying for Embraer 120 aircraft (Network Aviation Pty Ltd) [F2013L00069]</w:t>
      </w:r>
    </w:p>
    <w:p w:rsidR="00EC5913" w:rsidRPr="00573AC7" w:rsidRDefault="00EC5913" w:rsidP="00EC5913">
      <w:pPr>
        <w:spacing w:after="60"/>
        <w:ind w:right="-45"/>
        <w:jc w:val="left"/>
        <w:rPr>
          <w:color w:val="000000"/>
          <w:sz w:val="22"/>
          <w:szCs w:val="22"/>
        </w:rPr>
      </w:pPr>
      <w:r w:rsidRPr="00573AC7">
        <w:rPr>
          <w:color w:val="000000"/>
          <w:sz w:val="22"/>
          <w:szCs w:val="22"/>
        </w:rPr>
        <w:t>CASA EX05/13 - Exemption - use of ADS B for the provision of air traffic services [F2013L00061]</w:t>
      </w:r>
    </w:p>
    <w:p w:rsidR="00EC5913" w:rsidRPr="00573AC7" w:rsidRDefault="00EC5913" w:rsidP="00EC5913">
      <w:pPr>
        <w:spacing w:after="0"/>
        <w:ind w:right="-46"/>
        <w:jc w:val="left"/>
        <w:rPr>
          <w:color w:val="000000"/>
          <w:sz w:val="22"/>
          <w:szCs w:val="22"/>
        </w:rPr>
      </w:pPr>
      <w:r w:rsidRPr="00573AC7">
        <w:rPr>
          <w:color w:val="000000"/>
          <w:sz w:val="22"/>
          <w:szCs w:val="22"/>
        </w:rPr>
        <w:t>Civil Aviation Order 20.18 Amendment Instrument 2013 (No. 1) [F2013L00070]</w:t>
      </w:r>
    </w:p>
    <w:p w:rsidR="00EC5913" w:rsidRPr="00573AC7" w:rsidRDefault="00EC5913" w:rsidP="00EC5913">
      <w:pPr>
        <w:spacing w:after="0"/>
        <w:ind w:right="-46"/>
        <w:rPr>
          <w:color w:val="000000"/>
          <w:sz w:val="22"/>
          <w:szCs w:val="22"/>
        </w:rPr>
      </w:pPr>
    </w:p>
    <w:p w:rsidR="00EC5913" w:rsidRPr="00573AC7" w:rsidRDefault="00EC5913" w:rsidP="00EC5913">
      <w:pPr>
        <w:spacing w:after="120"/>
        <w:ind w:right="-45"/>
        <w:rPr>
          <w:b/>
          <w:sz w:val="24"/>
          <w:szCs w:val="24"/>
        </w:rPr>
      </w:pPr>
      <w:r w:rsidRPr="00573AC7">
        <w:rPr>
          <w:b/>
          <w:i/>
          <w:sz w:val="24"/>
          <w:szCs w:val="24"/>
        </w:rPr>
        <w:t>Competition and Consumer Act 2010</w:t>
      </w:r>
    </w:p>
    <w:p w:rsidR="00EC5913" w:rsidRPr="00573AC7" w:rsidRDefault="00EC5913" w:rsidP="00EC5913">
      <w:pPr>
        <w:spacing w:after="0"/>
        <w:ind w:right="-46"/>
        <w:jc w:val="left"/>
        <w:rPr>
          <w:color w:val="000000"/>
          <w:sz w:val="22"/>
          <w:szCs w:val="22"/>
        </w:rPr>
      </w:pPr>
      <w:r w:rsidRPr="00573AC7">
        <w:rPr>
          <w:color w:val="000000"/>
          <w:sz w:val="22"/>
          <w:szCs w:val="22"/>
        </w:rPr>
        <w:t>Consumer Goods (Portable Swimming Pools) Safety Standard 2013 [F2013L00049]</w:t>
      </w:r>
    </w:p>
    <w:p w:rsidR="00EC5913" w:rsidRPr="00573AC7" w:rsidRDefault="00EC5913" w:rsidP="00EC5913">
      <w:pPr>
        <w:spacing w:after="0"/>
        <w:ind w:right="-46"/>
        <w:rPr>
          <w:color w:val="000000"/>
          <w:sz w:val="22"/>
          <w:szCs w:val="22"/>
        </w:rPr>
      </w:pPr>
    </w:p>
    <w:p w:rsidR="00EC5913" w:rsidRPr="00573AC7" w:rsidRDefault="00EC5913" w:rsidP="00EC5913">
      <w:pPr>
        <w:spacing w:after="120"/>
        <w:ind w:right="-45"/>
        <w:rPr>
          <w:sz w:val="24"/>
          <w:szCs w:val="24"/>
        </w:rPr>
      </w:pPr>
      <w:r w:rsidRPr="00573AC7">
        <w:rPr>
          <w:b/>
          <w:i/>
          <w:sz w:val="24"/>
          <w:szCs w:val="24"/>
        </w:rPr>
        <w:t>Corporations Act 2001</w:t>
      </w:r>
    </w:p>
    <w:p w:rsidR="00EC5913" w:rsidRPr="00573AC7" w:rsidRDefault="00EC5913" w:rsidP="00EC5913">
      <w:pPr>
        <w:spacing w:after="60"/>
        <w:ind w:right="-45"/>
        <w:jc w:val="left"/>
        <w:rPr>
          <w:color w:val="000000"/>
          <w:sz w:val="22"/>
          <w:szCs w:val="22"/>
        </w:rPr>
      </w:pPr>
      <w:r w:rsidRPr="00573AC7">
        <w:rPr>
          <w:color w:val="000000"/>
          <w:sz w:val="22"/>
          <w:szCs w:val="22"/>
        </w:rPr>
        <w:t>AASB 2012-9 - Amendment to AASB 1048 arising from the Withdrawal of Australian Interpretation 1039 - January 2013 [F2013L00073]</w:t>
      </w:r>
    </w:p>
    <w:p w:rsidR="00EC5913" w:rsidRPr="00573AC7" w:rsidRDefault="00EC5913" w:rsidP="00EC5913">
      <w:pPr>
        <w:spacing w:after="0"/>
        <w:ind w:right="-46"/>
        <w:jc w:val="left"/>
        <w:rPr>
          <w:sz w:val="22"/>
          <w:szCs w:val="22"/>
        </w:rPr>
      </w:pPr>
      <w:r w:rsidRPr="00573AC7">
        <w:rPr>
          <w:sz w:val="22"/>
          <w:szCs w:val="22"/>
        </w:rPr>
        <w:t>ASIC Class Order [CO 13/19] [F2013L00044]</w:t>
      </w:r>
    </w:p>
    <w:p w:rsidR="00EC5913" w:rsidRPr="00573AC7" w:rsidRDefault="00EC5913" w:rsidP="00EC5913">
      <w:pPr>
        <w:pStyle w:val="ListParagraph"/>
        <w:ind w:left="0" w:right="-46"/>
      </w:pPr>
    </w:p>
    <w:p w:rsidR="00EC5913" w:rsidRPr="00573AC7" w:rsidRDefault="00EC5913" w:rsidP="00EC5913">
      <w:pPr>
        <w:spacing w:after="120"/>
        <w:ind w:right="-45"/>
        <w:rPr>
          <w:sz w:val="24"/>
          <w:szCs w:val="24"/>
        </w:rPr>
      </w:pPr>
      <w:r w:rsidRPr="00573AC7">
        <w:rPr>
          <w:b/>
          <w:i/>
          <w:sz w:val="24"/>
          <w:szCs w:val="24"/>
        </w:rPr>
        <w:t>Currency Act 1965</w:t>
      </w:r>
    </w:p>
    <w:p w:rsidR="00EC5913" w:rsidRPr="00573AC7" w:rsidRDefault="00EC5913" w:rsidP="00EC5913">
      <w:pPr>
        <w:spacing w:after="60"/>
        <w:ind w:right="-45"/>
        <w:jc w:val="left"/>
        <w:rPr>
          <w:color w:val="000000"/>
          <w:sz w:val="22"/>
          <w:szCs w:val="22"/>
        </w:rPr>
      </w:pPr>
      <w:r w:rsidRPr="00573AC7">
        <w:rPr>
          <w:color w:val="000000"/>
          <w:sz w:val="22"/>
          <w:szCs w:val="22"/>
        </w:rPr>
        <w:t>Currency (Perth Mint) Determination 2013 (No. 1) [F2013L00065]</w:t>
      </w:r>
    </w:p>
    <w:p w:rsidR="00EC5913" w:rsidRPr="00573AC7" w:rsidRDefault="00EC5913" w:rsidP="00EC5913">
      <w:pPr>
        <w:spacing w:after="60"/>
        <w:ind w:right="-45"/>
        <w:jc w:val="left"/>
        <w:rPr>
          <w:color w:val="000000"/>
          <w:sz w:val="22"/>
          <w:szCs w:val="22"/>
        </w:rPr>
      </w:pPr>
      <w:r w:rsidRPr="00573AC7">
        <w:rPr>
          <w:color w:val="000000"/>
          <w:sz w:val="22"/>
          <w:szCs w:val="22"/>
        </w:rPr>
        <w:t>Currency (Royal Australian Mint) Determination 2012 (No. 6) [F2013L00053]</w:t>
      </w:r>
    </w:p>
    <w:p w:rsidR="00EC5913" w:rsidRPr="00573AC7" w:rsidRDefault="00EC5913" w:rsidP="00EC5913">
      <w:pPr>
        <w:spacing w:after="0"/>
        <w:ind w:right="-46"/>
        <w:jc w:val="left"/>
        <w:rPr>
          <w:color w:val="000000"/>
          <w:sz w:val="22"/>
          <w:szCs w:val="22"/>
        </w:rPr>
      </w:pPr>
      <w:r w:rsidRPr="00573AC7">
        <w:rPr>
          <w:color w:val="000000"/>
          <w:sz w:val="22"/>
          <w:szCs w:val="22"/>
        </w:rPr>
        <w:t>Currency Legislation (Royal Australian Mint) Amendment Determination 2012 (No. 2) [F2013L00058]</w:t>
      </w:r>
    </w:p>
    <w:p w:rsidR="00EC5913" w:rsidRPr="00573AC7" w:rsidRDefault="00EC5913" w:rsidP="00EC5913">
      <w:pPr>
        <w:spacing w:after="0"/>
        <w:ind w:right="-46"/>
        <w:rPr>
          <w:color w:val="000000"/>
          <w:sz w:val="22"/>
          <w:szCs w:val="22"/>
        </w:rPr>
      </w:pPr>
    </w:p>
    <w:p w:rsidR="00EC5913" w:rsidRPr="00573AC7" w:rsidRDefault="00EC5913" w:rsidP="00EC5913">
      <w:pPr>
        <w:spacing w:after="120"/>
        <w:ind w:right="-45"/>
        <w:rPr>
          <w:color w:val="000000"/>
          <w:sz w:val="24"/>
          <w:szCs w:val="24"/>
        </w:rPr>
      </w:pPr>
      <w:r w:rsidRPr="00573AC7">
        <w:rPr>
          <w:b/>
          <w:i/>
          <w:color w:val="000000"/>
          <w:sz w:val="24"/>
          <w:szCs w:val="24"/>
        </w:rPr>
        <w:t>Defence Act 1903</w:t>
      </w:r>
    </w:p>
    <w:p w:rsidR="00EC5913" w:rsidRPr="00573AC7" w:rsidRDefault="00EC5913" w:rsidP="00EC5913">
      <w:pPr>
        <w:spacing w:after="60"/>
        <w:ind w:right="-45"/>
        <w:jc w:val="left"/>
        <w:rPr>
          <w:color w:val="000000"/>
          <w:sz w:val="22"/>
          <w:szCs w:val="22"/>
        </w:rPr>
      </w:pPr>
      <w:r w:rsidRPr="00573AC7">
        <w:rPr>
          <w:color w:val="000000"/>
          <w:sz w:val="22"/>
          <w:szCs w:val="22"/>
        </w:rPr>
        <w:t>Defence Determination 2012/68, Reserve employer support payments</w:t>
      </w:r>
    </w:p>
    <w:p w:rsidR="00EC5913" w:rsidRPr="00573AC7" w:rsidRDefault="00EC5913" w:rsidP="00EC5913">
      <w:pPr>
        <w:spacing w:after="60"/>
        <w:ind w:right="-45"/>
        <w:jc w:val="left"/>
        <w:rPr>
          <w:color w:val="000000"/>
          <w:sz w:val="22"/>
          <w:szCs w:val="22"/>
        </w:rPr>
      </w:pPr>
      <w:r w:rsidRPr="00573AC7">
        <w:rPr>
          <w:color w:val="000000"/>
          <w:sz w:val="22"/>
          <w:szCs w:val="22"/>
        </w:rPr>
        <w:t>Defence Determination 2012/69, Post indexes – price review</w:t>
      </w:r>
    </w:p>
    <w:p w:rsidR="00EC5913" w:rsidRPr="00573AC7" w:rsidRDefault="00EC5913" w:rsidP="00EC5913">
      <w:pPr>
        <w:spacing w:after="60"/>
        <w:ind w:right="-45"/>
        <w:jc w:val="left"/>
        <w:rPr>
          <w:color w:val="000000"/>
          <w:sz w:val="22"/>
          <w:szCs w:val="22"/>
        </w:rPr>
      </w:pPr>
      <w:r w:rsidRPr="00573AC7">
        <w:rPr>
          <w:color w:val="000000"/>
          <w:sz w:val="22"/>
          <w:szCs w:val="22"/>
        </w:rPr>
        <w:t>Defence Determination 2012/70, Benchmark schools and approved club – amendment</w:t>
      </w:r>
    </w:p>
    <w:p w:rsidR="00EC5913" w:rsidRPr="00573AC7" w:rsidRDefault="00EC5913" w:rsidP="00EC5913">
      <w:pPr>
        <w:spacing w:after="60"/>
        <w:ind w:right="-45"/>
        <w:jc w:val="left"/>
        <w:rPr>
          <w:color w:val="000000"/>
          <w:sz w:val="22"/>
          <w:szCs w:val="22"/>
        </w:rPr>
      </w:pPr>
      <w:r w:rsidRPr="00573AC7">
        <w:rPr>
          <w:color w:val="000000"/>
          <w:sz w:val="22"/>
          <w:szCs w:val="22"/>
        </w:rPr>
        <w:t>Defence Determination 2012/71, Reserve member attending for duty in special circumstances – amendment</w:t>
      </w:r>
    </w:p>
    <w:p w:rsidR="00EC5913" w:rsidRPr="00573AC7" w:rsidRDefault="00EC5913" w:rsidP="00EC5913">
      <w:pPr>
        <w:spacing w:after="60"/>
        <w:ind w:right="-45"/>
        <w:jc w:val="left"/>
        <w:rPr>
          <w:color w:val="000000"/>
          <w:sz w:val="22"/>
          <w:szCs w:val="22"/>
        </w:rPr>
      </w:pPr>
      <w:r w:rsidRPr="00573AC7">
        <w:rPr>
          <w:color w:val="000000"/>
          <w:sz w:val="22"/>
          <w:szCs w:val="22"/>
        </w:rPr>
        <w:t>Defence Determination 2012/72, Increment advancement – amendment</w:t>
      </w:r>
    </w:p>
    <w:p w:rsidR="00EC5913" w:rsidRPr="00573AC7" w:rsidRDefault="00EC5913" w:rsidP="00EC5913">
      <w:pPr>
        <w:spacing w:after="60"/>
        <w:ind w:right="-45"/>
        <w:jc w:val="left"/>
        <w:rPr>
          <w:color w:val="000000"/>
          <w:sz w:val="22"/>
          <w:szCs w:val="22"/>
        </w:rPr>
      </w:pPr>
      <w:r w:rsidRPr="00573AC7">
        <w:rPr>
          <w:color w:val="000000"/>
          <w:sz w:val="22"/>
          <w:szCs w:val="22"/>
        </w:rPr>
        <w:lastRenderedPageBreak/>
        <w:t>Defence Determination 2013/1, Legal officer specialist officer career structure – amendment</w:t>
      </w:r>
    </w:p>
    <w:p w:rsidR="00EC5913" w:rsidRPr="00573AC7" w:rsidRDefault="00EC5913" w:rsidP="00EC5913">
      <w:pPr>
        <w:spacing w:after="0"/>
        <w:ind w:right="-46"/>
        <w:jc w:val="left"/>
        <w:rPr>
          <w:color w:val="000000"/>
          <w:sz w:val="22"/>
          <w:szCs w:val="22"/>
        </w:rPr>
      </w:pPr>
      <w:r w:rsidRPr="00573AC7">
        <w:rPr>
          <w:color w:val="000000"/>
          <w:sz w:val="22"/>
          <w:szCs w:val="22"/>
        </w:rPr>
        <w:t>Defence Determination 2013/2, Salary non-reduction - amendment</w:t>
      </w:r>
    </w:p>
    <w:p w:rsidR="00EC5913" w:rsidRPr="00573AC7" w:rsidRDefault="00EC5913" w:rsidP="00EC5913">
      <w:pPr>
        <w:spacing w:after="0"/>
        <w:ind w:right="-46"/>
        <w:rPr>
          <w:color w:val="000000"/>
          <w:sz w:val="22"/>
          <w:szCs w:val="22"/>
        </w:rPr>
      </w:pPr>
    </w:p>
    <w:p w:rsidR="00EC5913" w:rsidRPr="00573AC7" w:rsidRDefault="00EC5913" w:rsidP="00EC5913">
      <w:pPr>
        <w:spacing w:after="120"/>
        <w:ind w:right="-45"/>
        <w:rPr>
          <w:sz w:val="24"/>
          <w:szCs w:val="24"/>
        </w:rPr>
      </w:pPr>
      <w:r w:rsidRPr="00573AC7">
        <w:rPr>
          <w:b/>
          <w:i/>
          <w:sz w:val="24"/>
          <w:szCs w:val="24"/>
        </w:rPr>
        <w:t>Financial Sector (Collection of Data) Act 2001</w:t>
      </w:r>
    </w:p>
    <w:p w:rsidR="00EC5913" w:rsidRPr="00573AC7" w:rsidRDefault="00EC5913" w:rsidP="00EC5913">
      <w:pPr>
        <w:spacing w:after="0"/>
        <w:ind w:right="-46"/>
        <w:jc w:val="left"/>
        <w:rPr>
          <w:color w:val="000000"/>
          <w:sz w:val="22"/>
          <w:szCs w:val="22"/>
        </w:rPr>
      </w:pPr>
      <w:r w:rsidRPr="00573AC7">
        <w:rPr>
          <w:color w:val="000000"/>
          <w:sz w:val="22"/>
          <w:szCs w:val="22"/>
        </w:rPr>
        <w:t>Financial Sector (Collection of Data) (reporting standard) determination No. 1 of 2013 - GRS 001 - Reporting Requirements [F2013L00076]</w:t>
      </w:r>
    </w:p>
    <w:p w:rsidR="00EC5913" w:rsidRPr="00573AC7" w:rsidRDefault="00EC5913" w:rsidP="00EC5913">
      <w:pPr>
        <w:spacing w:after="0"/>
        <w:ind w:right="-46"/>
        <w:rPr>
          <w:color w:val="000000"/>
          <w:sz w:val="22"/>
          <w:szCs w:val="22"/>
        </w:rPr>
      </w:pPr>
    </w:p>
    <w:p w:rsidR="00EC5913" w:rsidRPr="00573AC7" w:rsidRDefault="00EC5913" w:rsidP="00EC5913">
      <w:pPr>
        <w:spacing w:after="120"/>
        <w:ind w:right="-45"/>
        <w:rPr>
          <w:sz w:val="24"/>
          <w:szCs w:val="24"/>
        </w:rPr>
      </w:pPr>
      <w:r w:rsidRPr="00573AC7">
        <w:rPr>
          <w:b/>
          <w:i/>
          <w:sz w:val="24"/>
          <w:szCs w:val="24"/>
        </w:rPr>
        <w:t>Higher Education Support Act 2003</w:t>
      </w:r>
    </w:p>
    <w:p w:rsidR="00EC5913" w:rsidRPr="00573AC7" w:rsidRDefault="00EC5913" w:rsidP="003F17A2">
      <w:pPr>
        <w:spacing w:after="60"/>
        <w:ind w:right="-45"/>
        <w:jc w:val="left"/>
        <w:rPr>
          <w:color w:val="000000"/>
          <w:sz w:val="22"/>
          <w:szCs w:val="22"/>
        </w:rPr>
      </w:pPr>
      <w:r w:rsidRPr="00573AC7">
        <w:rPr>
          <w:color w:val="000000"/>
          <w:sz w:val="22"/>
          <w:szCs w:val="22"/>
        </w:rPr>
        <w:t>Higher Education Support Act 2003 - VET Provider Approval (No. 2 of 2013) [F2013L00055]</w:t>
      </w:r>
    </w:p>
    <w:p w:rsidR="00EC5913" w:rsidRPr="00573AC7" w:rsidRDefault="00EC5913" w:rsidP="003F17A2">
      <w:pPr>
        <w:spacing w:after="60"/>
        <w:ind w:right="-46"/>
        <w:jc w:val="left"/>
        <w:rPr>
          <w:color w:val="000000"/>
          <w:sz w:val="22"/>
          <w:szCs w:val="22"/>
        </w:rPr>
      </w:pPr>
      <w:r w:rsidRPr="00573AC7">
        <w:rPr>
          <w:color w:val="000000"/>
          <w:sz w:val="22"/>
          <w:szCs w:val="22"/>
        </w:rPr>
        <w:t>Higher Education Support Act 2003 - VET Provider Approval (No. 3 of 2013) [F2013L00064]</w:t>
      </w:r>
    </w:p>
    <w:p w:rsidR="00EC5913" w:rsidRPr="00573AC7" w:rsidRDefault="00EC5913" w:rsidP="00EC5913">
      <w:pPr>
        <w:spacing w:after="0"/>
        <w:ind w:right="-46"/>
        <w:rPr>
          <w:color w:val="000000"/>
          <w:sz w:val="22"/>
          <w:szCs w:val="22"/>
        </w:rPr>
      </w:pPr>
    </w:p>
    <w:p w:rsidR="00EC5913" w:rsidRPr="00573AC7" w:rsidRDefault="00EC5913" w:rsidP="003F17A2">
      <w:pPr>
        <w:spacing w:after="120"/>
        <w:ind w:right="-45"/>
        <w:rPr>
          <w:sz w:val="24"/>
          <w:szCs w:val="24"/>
        </w:rPr>
      </w:pPr>
      <w:r w:rsidRPr="00573AC7">
        <w:rPr>
          <w:b/>
          <w:i/>
          <w:sz w:val="24"/>
          <w:szCs w:val="24"/>
        </w:rPr>
        <w:t>National Consumer Credit Protection Act 2009</w:t>
      </w:r>
    </w:p>
    <w:p w:rsidR="00EC5913" w:rsidRPr="00573AC7" w:rsidRDefault="00EC5913" w:rsidP="00EC5913">
      <w:pPr>
        <w:spacing w:after="0"/>
        <w:ind w:right="-46"/>
        <w:jc w:val="left"/>
        <w:rPr>
          <w:sz w:val="22"/>
          <w:szCs w:val="22"/>
        </w:rPr>
      </w:pPr>
      <w:r w:rsidRPr="00573AC7">
        <w:rPr>
          <w:sz w:val="22"/>
          <w:szCs w:val="22"/>
        </w:rPr>
        <w:t>ASIC Class Order [CO 13/18] [F2013L00043]</w:t>
      </w:r>
    </w:p>
    <w:p w:rsidR="00EC5913" w:rsidRPr="00573AC7" w:rsidRDefault="00EC5913" w:rsidP="00EC5913">
      <w:pPr>
        <w:pStyle w:val="ListParagraph"/>
        <w:ind w:left="0" w:right="-46"/>
      </w:pPr>
    </w:p>
    <w:p w:rsidR="00EC5913" w:rsidRPr="00573AC7" w:rsidRDefault="00EC5913" w:rsidP="003F17A2">
      <w:pPr>
        <w:spacing w:after="120"/>
        <w:ind w:right="-45"/>
        <w:rPr>
          <w:sz w:val="24"/>
          <w:szCs w:val="24"/>
        </w:rPr>
      </w:pPr>
      <w:r w:rsidRPr="00573AC7">
        <w:rPr>
          <w:b/>
          <w:i/>
          <w:sz w:val="24"/>
          <w:szCs w:val="24"/>
        </w:rPr>
        <w:t>National Health Act 1953</w:t>
      </w:r>
    </w:p>
    <w:p w:rsidR="00EC5913" w:rsidRPr="00573AC7" w:rsidRDefault="00EC5913" w:rsidP="00EC5913">
      <w:pPr>
        <w:spacing w:after="60"/>
        <w:ind w:right="-45"/>
        <w:jc w:val="left"/>
        <w:rPr>
          <w:color w:val="000000"/>
          <w:sz w:val="22"/>
          <w:szCs w:val="22"/>
        </w:rPr>
      </w:pPr>
      <w:r w:rsidRPr="00573AC7">
        <w:rPr>
          <w:color w:val="000000"/>
          <w:sz w:val="22"/>
          <w:szCs w:val="22"/>
        </w:rPr>
        <w:t xml:space="preserve">National Health Act 1953 - Amendment determination under paragraph </w:t>
      </w:r>
      <w:proofErr w:type="gramStart"/>
      <w:r w:rsidRPr="00573AC7">
        <w:rPr>
          <w:color w:val="000000"/>
          <w:sz w:val="22"/>
          <w:szCs w:val="22"/>
        </w:rPr>
        <w:t>98C(</w:t>
      </w:r>
      <w:proofErr w:type="gramEnd"/>
      <w:r w:rsidRPr="00573AC7">
        <w:rPr>
          <w:color w:val="000000"/>
          <w:sz w:val="22"/>
          <w:szCs w:val="22"/>
        </w:rPr>
        <w:t>1)(b) (No. PB 5 of 2013) [F2013L00071]</w:t>
      </w:r>
    </w:p>
    <w:p w:rsidR="00EC5913" w:rsidRPr="00573AC7" w:rsidRDefault="00EC5913" w:rsidP="00EC5913">
      <w:pPr>
        <w:spacing w:after="60"/>
        <w:ind w:right="-45"/>
        <w:jc w:val="left"/>
        <w:rPr>
          <w:color w:val="000000"/>
          <w:sz w:val="22"/>
          <w:szCs w:val="22"/>
        </w:rPr>
      </w:pPr>
      <w:r w:rsidRPr="00573AC7">
        <w:rPr>
          <w:color w:val="000000"/>
          <w:sz w:val="22"/>
          <w:szCs w:val="22"/>
        </w:rPr>
        <w:t>National Health (Efficient Funding of Chemotherapy) Special Arrangement Amendment Instrument 2013 (No. 1) [F2013L00046]</w:t>
      </w:r>
    </w:p>
    <w:p w:rsidR="00EC5913" w:rsidRPr="00573AC7" w:rsidRDefault="00EC5913" w:rsidP="00EC5913">
      <w:pPr>
        <w:spacing w:after="0"/>
        <w:ind w:right="-46"/>
        <w:jc w:val="left"/>
        <w:rPr>
          <w:color w:val="000000"/>
          <w:sz w:val="22"/>
          <w:szCs w:val="22"/>
        </w:rPr>
      </w:pPr>
      <w:proofErr w:type="gramStart"/>
      <w:r w:rsidRPr="00573AC7">
        <w:rPr>
          <w:color w:val="000000"/>
          <w:sz w:val="22"/>
          <w:szCs w:val="22"/>
        </w:rPr>
        <w:t>National Health (Listing of Pharmaceutical Benefits) Amendment Instrument 2013 (No. 2) (No.</w:t>
      </w:r>
      <w:proofErr w:type="gramEnd"/>
      <w:r w:rsidRPr="00573AC7">
        <w:rPr>
          <w:color w:val="000000"/>
          <w:sz w:val="22"/>
          <w:szCs w:val="22"/>
        </w:rPr>
        <w:t xml:space="preserve"> PB 4 of 2013) [F2013L00072]</w:t>
      </w:r>
    </w:p>
    <w:p w:rsidR="00EC5913" w:rsidRPr="00573AC7" w:rsidRDefault="00EC5913" w:rsidP="00EC5913">
      <w:pPr>
        <w:spacing w:after="0"/>
        <w:ind w:right="-46"/>
        <w:rPr>
          <w:color w:val="000000"/>
          <w:sz w:val="22"/>
          <w:szCs w:val="22"/>
        </w:rPr>
      </w:pPr>
    </w:p>
    <w:p w:rsidR="00EC5913" w:rsidRPr="00573AC7" w:rsidRDefault="00EC5913" w:rsidP="003F17A2">
      <w:pPr>
        <w:spacing w:after="120"/>
        <w:ind w:right="-45"/>
        <w:rPr>
          <w:sz w:val="24"/>
          <w:szCs w:val="24"/>
        </w:rPr>
      </w:pPr>
      <w:r w:rsidRPr="00573AC7">
        <w:rPr>
          <w:b/>
          <w:i/>
          <w:sz w:val="24"/>
          <w:szCs w:val="24"/>
        </w:rPr>
        <w:t>Protection of the Sea (Prevention of Pollution from Ships) Act 1983</w:t>
      </w:r>
    </w:p>
    <w:p w:rsidR="00EC5913" w:rsidRPr="00573AC7" w:rsidRDefault="00EC5913" w:rsidP="00EC5913">
      <w:pPr>
        <w:spacing w:after="0"/>
        <w:ind w:right="-46"/>
        <w:jc w:val="left"/>
        <w:rPr>
          <w:color w:val="000000"/>
          <w:sz w:val="22"/>
          <w:szCs w:val="22"/>
        </w:rPr>
      </w:pPr>
      <w:r w:rsidRPr="00573AC7">
        <w:rPr>
          <w:color w:val="000000"/>
          <w:sz w:val="22"/>
          <w:szCs w:val="22"/>
        </w:rPr>
        <w:t>Marine Order 95 (Marine pollution prevention - garbage) 2013 [F2013L00059]</w:t>
      </w:r>
    </w:p>
    <w:p w:rsidR="00EC5913" w:rsidRPr="00573AC7" w:rsidRDefault="00EC5913" w:rsidP="00EC5913">
      <w:pPr>
        <w:spacing w:after="0"/>
        <w:ind w:right="-46"/>
        <w:rPr>
          <w:color w:val="000000"/>
          <w:sz w:val="22"/>
          <w:szCs w:val="22"/>
        </w:rPr>
      </w:pPr>
    </w:p>
    <w:p w:rsidR="00EC5913" w:rsidRPr="00573AC7" w:rsidRDefault="00EC5913" w:rsidP="003F17A2">
      <w:pPr>
        <w:spacing w:after="120"/>
        <w:ind w:right="-45"/>
        <w:rPr>
          <w:sz w:val="24"/>
          <w:szCs w:val="24"/>
        </w:rPr>
      </w:pPr>
      <w:r w:rsidRPr="00573AC7">
        <w:rPr>
          <w:b/>
          <w:i/>
          <w:sz w:val="24"/>
          <w:szCs w:val="24"/>
        </w:rPr>
        <w:t>Water Efficiency Labelling and Standards Act 2005</w:t>
      </w:r>
    </w:p>
    <w:p w:rsidR="00EC5913" w:rsidRPr="00573AC7" w:rsidRDefault="00EC5913" w:rsidP="00EC5913">
      <w:pPr>
        <w:spacing w:after="0"/>
        <w:ind w:right="-46"/>
        <w:jc w:val="left"/>
        <w:rPr>
          <w:color w:val="000000"/>
          <w:sz w:val="22"/>
          <w:szCs w:val="22"/>
        </w:rPr>
      </w:pPr>
      <w:r w:rsidRPr="00573AC7">
        <w:rPr>
          <w:color w:val="000000"/>
          <w:sz w:val="22"/>
          <w:szCs w:val="22"/>
        </w:rPr>
        <w:t>Water Efficiency Labelling and Standards Determination 2013 [F2013L00067]</w:t>
      </w:r>
    </w:p>
    <w:p w:rsidR="00EC5913" w:rsidRPr="00C45C72" w:rsidRDefault="00EC5913" w:rsidP="00EC5913">
      <w:pPr>
        <w:pStyle w:val="Heading3"/>
        <w:tabs>
          <w:tab w:val="left" w:pos="284"/>
        </w:tabs>
        <w:spacing w:before="360" w:after="360"/>
        <w:jc w:val="center"/>
        <w:rPr>
          <w:u w:val="single"/>
        </w:rPr>
      </w:pPr>
      <w:r w:rsidRPr="00C45C72">
        <w:rPr>
          <w:u w:val="single"/>
        </w:rPr>
        <w:t xml:space="preserve">Instruments received week ending </w:t>
      </w:r>
      <w:r>
        <w:rPr>
          <w:u w:val="single"/>
        </w:rPr>
        <w:t>1 February 2013</w:t>
      </w:r>
    </w:p>
    <w:p w:rsidR="00EC5913" w:rsidRPr="0053183F" w:rsidRDefault="00EC5913" w:rsidP="003F17A2">
      <w:pPr>
        <w:spacing w:after="120"/>
        <w:ind w:right="-45"/>
        <w:rPr>
          <w:sz w:val="24"/>
          <w:szCs w:val="24"/>
        </w:rPr>
      </w:pPr>
      <w:r w:rsidRPr="0053183F">
        <w:rPr>
          <w:b/>
          <w:i/>
          <w:sz w:val="24"/>
          <w:szCs w:val="24"/>
        </w:rPr>
        <w:t>Corporations Act 2001</w:t>
      </w:r>
    </w:p>
    <w:p w:rsidR="00EC5913" w:rsidRPr="0053183F" w:rsidRDefault="00EC5913" w:rsidP="00EC5913">
      <w:pPr>
        <w:spacing w:after="60"/>
        <w:ind w:right="-45"/>
        <w:jc w:val="left"/>
        <w:rPr>
          <w:sz w:val="22"/>
          <w:szCs w:val="22"/>
        </w:rPr>
      </w:pPr>
      <w:r w:rsidRPr="0053183F">
        <w:rPr>
          <w:sz w:val="22"/>
          <w:szCs w:val="22"/>
        </w:rPr>
        <w:t>AASB 2012-10 – Amendments to Australian Accounting Standards – Transition Guidance and Other Amendments – December 2012 [F2013L00080]</w:t>
      </w:r>
    </w:p>
    <w:p w:rsidR="00EC5913" w:rsidRPr="0053183F" w:rsidRDefault="00EC5913" w:rsidP="00EC5913">
      <w:pPr>
        <w:spacing w:after="0"/>
        <w:ind w:right="-46"/>
        <w:jc w:val="left"/>
        <w:rPr>
          <w:sz w:val="22"/>
          <w:szCs w:val="22"/>
        </w:rPr>
      </w:pPr>
      <w:r w:rsidRPr="0053183F">
        <w:rPr>
          <w:sz w:val="22"/>
          <w:szCs w:val="22"/>
        </w:rPr>
        <w:t>AASB 2012-11 – Amendments to Australian Accounting Standards – Reduced Disclosure Requirements and Other Amendments – December 2012 [F2013L00075]</w:t>
      </w:r>
    </w:p>
    <w:p w:rsidR="00EC5913" w:rsidRPr="0053183F" w:rsidRDefault="00EC5913" w:rsidP="00EC5913">
      <w:pPr>
        <w:spacing w:after="0"/>
        <w:ind w:right="-46"/>
        <w:rPr>
          <w:sz w:val="22"/>
          <w:szCs w:val="22"/>
        </w:rPr>
      </w:pPr>
    </w:p>
    <w:p w:rsidR="00EC5913" w:rsidRPr="0053183F" w:rsidRDefault="00EC5913" w:rsidP="003F17A2">
      <w:pPr>
        <w:spacing w:after="120"/>
        <w:ind w:right="-45"/>
        <w:rPr>
          <w:sz w:val="24"/>
          <w:szCs w:val="24"/>
        </w:rPr>
      </w:pPr>
      <w:r w:rsidRPr="0053183F">
        <w:rPr>
          <w:b/>
          <w:i/>
          <w:sz w:val="24"/>
          <w:szCs w:val="24"/>
        </w:rPr>
        <w:t>Environment Protection and Biodiversity Conservation Act 1999</w:t>
      </w:r>
    </w:p>
    <w:p w:rsidR="00EC5913" w:rsidRPr="0053183F" w:rsidRDefault="00EC5913" w:rsidP="00EC5913">
      <w:pPr>
        <w:spacing w:after="60"/>
        <w:ind w:right="-45"/>
        <w:jc w:val="left"/>
        <w:rPr>
          <w:sz w:val="22"/>
          <w:szCs w:val="22"/>
        </w:rPr>
      </w:pPr>
      <w:r w:rsidRPr="0053183F">
        <w:rPr>
          <w:sz w:val="22"/>
          <w:szCs w:val="22"/>
        </w:rPr>
        <w:t>Amendment of List of Exempt Native Specimens – Western Australian West Coast Rock Lobster Managed Fishery (22/01/2013) [F2013L00089]</w:t>
      </w:r>
    </w:p>
    <w:p w:rsidR="00EC5913" w:rsidRPr="0053183F" w:rsidRDefault="00EC5913" w:rsidP="00EC5913">
      <w:pPr>
        <w:spacing w:after="0"/>
        <w:ind w:right="-46"/>
        <w:jc w:val="left"/>
        <w:rPr>
          <w:sz w:val="22"/>
          <w:szCs w:val="22"/>
        </w:rPr>
      </w:pPr>
      <w:r w:rsidRPr="0053183F">
        <w:rPr>
          <w:sz w:val="22"/>
          <w:szCs w:val="22"/>
        </w:rPr>
        <w:t>Amendment of List of Exempt Native Specimens – Western Australian Western Rock Lobster Fishery (22/01/2013) [F2013L00090]</w:t>
      </w:r>
    </w:p>
    <w:p w:rsidR="00EC5913" w:rsidRPr="0053183F" w:rsidRDefault="00EC5913" w:rsidP="00EC5913">
      <w:pPr>
        <w:spacing w:after="0"/>
        <w:ind w:right="-46"/>
        <w:rPr>
          <w:sz w:val="22"/>
          <w:szCs w:val="22"/>
        </w:rPr>
      </w:pPr>
    </w:p>
    <w:p w:rsidR="00EC5913" w:rsidRPr="0053183F" w:rsidRDefault="00EC5913" w:rsidP="003F17A2">
      <w:pPr>
        <w:spacing w:after="120"/>
        <w:ind w:right="-45"/>
        <w:rPr>
          <w:sz w:val="24"/>
          <w:szCs w:val="24"/>
        </w:rPr>
      </w:pPr>
      <w:r w:rsidRPr="0053183F">
        <w:rPr>
          <w:b/>
          <w:i/>
          <w:sz w:val="24"/>
          <w:szCs w:val="24"/>
        </w:rPr>
        <w:t>Financial Sector (Collection of Data) Act 2001</w:t>
      </w:r>
    </w:p>
    <w:p w:rsidR="00EC5913" w:rsidRPr="0053183F" w:rsidRDefault="00EC5913" w:rsidP="00EC5913">
      <w:pPr>
        <w:spacing w:after="60"/>
        <w:ind w:right="-45"/>
        <w:jc w:val="left"/>
        <w:rPr>
          <w:sz w:val="22"/>
          <w:szCs w:val="22"/>
        </w:rPr>
      </w:pPr>
      <w:r w:rsidRPr="0053183F">
        <w:rPr>
          <w:sz w:val="22"/>
          <w:szCs w:val="22"/>
        </w:rPr>
        <w:t>Financial Sector (Collection of Data) (reporting standard) determination No. 2 of 2013 – GRS 110.1 – Prescribed Capital Amount [F2013L00077]</w:t>
      </w:r>
    </w:p>
    <w:p w:rsidR="00EC5913" w:rsidRPr="0053183F" w:rsidRDefault="00EC5913" w:rsidP="00EC5913">
      <w:pPr>
        <w:spacing w:after="60"/>
        <w:ind w:right="-45"/>
        <w:jc w:val="left"/>
        <w:rPr>
          <w:sz w:val="22"/>
          <w:szCs w:val="22"/>
        </w:rPr>
      </w:pPr>
      <w:r w:rsidRPr="0053183F">
        <w:rPr>
          <w:sz w:val="22"/>
          <w:szCs w:val="22"/>
        </w:rPr>
        <w:t>Financial Sector (Collection of Data) (reporting standard) determination No. 3 of 2013 – GRS 112.0 – Determination of Capital Base [F2013L00081]</w:t>
      </w:r>
    </w:p>
    <w:p w:rsidR="00EC5913" w:rsidRPr="0053183F" w:rsidRDefault="00EC5913" w:rsidP="00EC5913">
      <w:pPr>
        <w:spacing w:after="60"/>
        <w:ind w:right="-45"/>
        <w:jc w:val="left"/>
        <w:rPr>
          <w:sz w:val="22"/>
          <w:szCs w:val="22"/>
        </w:rPr>
      </w:pPr>
      <w:r w:rsidRPr="0053183F">
        <w:rPr>
          <w:sz w:val="22"/>
          <w:szCs w:val="22"/>
        </w:rPr>
        <w:lastRenderedPageBreak/>
        <w:t>Financial Sector (Collection of Data) (reporting standard) determination No. 7 of 2013 – GRS 114.4 – Details of Investment Assets [F2013L00091]</w:t>
      </w:r>
    </w:p>
    <w:p w:rsidR="00EC5913" w:rsidRPr="0053183F" w:rsidRDefault="00EC5913" w:rsidP="00EC5913">
      <w:pPr>
        <w:spacing w:after="60"/>
        <w:ind w:right="-45"/>
        <w:jc w:val="left"/>
        <w:rPr>
          <w:sz w:val="22"/>
          <w:szCs w:val="22"/>
        </w:rPr>
      </w:pPr>
      <w:r w:rsidRPr="0053183F">
        <w:rPr>
          <w:sz w:val="22"/>
          <w:szCs w:val="22"/>
        </w:rPr>
        <w:t>Financial Sector (Collection of Data) (reporting standard) determination No. 9 of 2013 – GRS 110.1 – Prescribed Capital Amount [F2013L00077]</w:t>
      </w:r>
    </w:p>
    <w:p w:rsidR="00EC5913" w:rsidRPr="0053183F" w:rsidRDefault="00EC5913" w:rsidP="00EC5913">
      <w:pPr>
        <w:spacing w:after="60"/>
        <w:ind w:right="-45"/>
        <w:jc w:val="left"/>
        <w:rPr>
          <w:sz w:val="22"/>
          <w:szCs w:val="22"/>
        </w:rPr>
      </w:pPr>
      <w:r w:rsidRPr="0053183F">
        <w:rPr>
          <w:sz w:val="22"/>
          <w:szCs w:val="22"/>
        </w:rPr>
        <w:t>Financial Sector (Collection of Data) (reporting standard) determination No. 17 of 2013 – GRS 310.0 – Income Statement [F2013L00078]</w:t>
      </w:r>
    </w:p>
    <w:p w:rsidR="00EC5913" w:rsidRPr="0053183F" w:rsidRDefault="00EC5913" w:rsidP="00EC5913">
      <w:pPr>
        <w:spacing w:after="60"/>
        <w:ind w:right="-45"/>
        <w:jc w:val="left"/>
        <w:rPr>
          <w:sz w:val="22"/>
          <w:szCs w:val="22"/>
        </w:rPr>
      </w:pPr>
      <w:r w:rsidRPr="0053183F">
        <w:rPr>
          <w:sz w:val="22"/>
          <w:szCs w:val="22"/>
        </w:rPr>
        <w:t>Financial Sector (Collection of Data) (reporting standard) determination No. 21 of 2013 – GRS 400.0 – Statement of Risk by Country [F2013L00079]</w:t>
      </w:r>
    </w:p>
    <w:p w:rsidR="00EC5913" w:rsidRPr="0053183F" w:rsidRDefault="00EC5913" w:rsidP="00EC5913">
      <w:pPr>
        <w:spacing w:after="60"/>
        <w:ind w:right="-45"/>
        <w:jc w:val="left"/>
        <w:rPr>
          <w:sz w:val="22"/>
          <w:szCs w:val="22"/>
        </w:rPr>
      </w:pPr>
      <w:r w:rsidRPr="0053183F">
        <w:rPr>
          <w:sz w:val="22"/>
          <w:szCs w:val="22"/>
        </w:rPr>
        <w:t>Financial Sector (Collection of Data) (reporting standard) determination No. 26 of 2013 – GRS 170.0 (2008) – Concentration Risk Charge; Reporting Standard GRS 900.0 – Transitional Arrangements 2010 [F2013L00083]</w:t>
      </w:r>
    </w:p>
    <w:p w:rsidR="00EC5913" w:rsidRPr="0053183F" w:rsidRDefault="00EC5913" w:rsidP="00EC5913">
      <w:pPr>
        <w:spacing w:after="60"/>
        <w:ind w:right="-45"/>
        <w:jc w:val="left"/>
        <w:rPr>
          <w:sz w:val="22"/>
          <w:szCs w:val="22"/>
        </w:rPr>
      </w:pPr>
      <w:r w:rsidRPr="0053183F">
        <w:rPr>
          <w:sz w:val="22"/>
          <w:szCs w:val="22"/>
        </w:rPr>
        <w:t>Financial Sector (Collection of Data) (reporting standard) determination No. 27 of 2013 – GRS 110.0_G – Prescribed Capital Amount (Level 2 Insurance Group) [F2013L00092]</w:t>
      </w:r>
    </w:p>
    <w:p w:rsidR="00EC5913" w:rsidRPr="0053183F" w:rsidRDefault="00EC5913" w:rsidP="00EC5913">
      <w:pPr>
        <w:spacing w:after="60"/>
        <w:ind w:right="-45"/>
        <w:jc w:val="left"/>
        <w:rPr>
          <w:sz w:val="22"/>
          <w:szCs w:val="22"/>
        </w:rPr>
      </w:pPr>
      <w:r w:rsidRPr="0053183F">
        <w:rPr>
          <w:sz w:val="22"/>
          <w:szCs w:val="22"/>
        </w:rPr>
        <w:t>Financial Sector (Collection of Data) (reporting standard) determination No. 28 of 2013 – GRS 112.0_G – Determination of Capital Base (Level 2 Insurance Group) [F2013L00093]</w:t>
      </w:r>
    </w:p>
    <w:p w:rsidR="00EC5913" w:rsidRPr="0053183F" w:rsidRDefault="00EC5913" w:rsidP="00EC5913">
      <w:pPr>
        <w:spacing w:after="60"/>
        <w:ind w:right="-45"/>
        <w:jc w:val="left"/>
        <w:rPr>
          <w:sz w:val="22"/>
          <w:szCs w:val="22"/>
        </w:rPr>
      </w:pPr>
      <w:r w:rsidRPr="0053183F">
        <w:rPr>
          <w:sz w:val="22"/>
          <w:szCs w:val="22"/>
        </w:rPr>
        <w:t>Financial Sector (Collection of Data) (reporting standard) determination No. 29 of 2013 – GRS 112.3_G – Related Party Exposures (Level 2 Insurance Group) [F2013L00094]</w:t>
      </w:r>
    </w:p>
    <w:p w:rsidR="00EC5913" w:rsidRPr="0053183F" w:rsidRDefault="00EC5913" w:rsidP="00EC5913">
      <w:pPr>
        <w:spacing w:after="0"/>
        <w:ind w:right="-46"/>
        <w:jc w:val="left"/>
        <w:rPr>
          <w:sz w:val="22"/>
          <w:szCs w:val="22"/>
        </w:rPr>
      </w:pPr>
      <w:r w:rsidRPr="0053183F">
        <w:rPr>
          <w:sz w:val="22"/>
          <w:szCs w:val="22"/>
        </w:rPr>
        <w:t>Financial Sector (Collection of Data) (reporting standard) determination No. 32 of 2013 – GRS 114.3_G – Off-balance Sheet Business (Level 2 Insurance Group) [F2013L00095]</w:t>
      </w:r>
    </w:p>
    <w:p w:rsidR="00EC5913" w:rsidRPr="0053183F" w:rsidRDefault="00EC5913" w:rsidP="00EC5913">
      <w:pPr>
        <w:spacing w:after="0"/>
        <w:ind w:right="-46"/>
        <w:rPr>
          <w:sz w:val="22"/>
          <w:szCs w:val="22"/>
        </w:rPr>
      </w:pPr>
    </w:p>
    <w:p w:rsidR="00EC5913" w:rsidRPr="0053183F" w:rsidRDefault="00EC5913" w:rsidP="003F17A2">
      <w:pPr>
        <w:spacing w:after="120"/>
        <w:ind w:right="-45"/>
        <w:rPr>
          <w:sz w:val="24"/>
          <w:szCs w:val="24"/>
        </w:rPr>
      </w:pPr>
      <w:r w:rsidRPr="0053183F">
        <w:rPr>
          <w:b/>
          <w:i/>
          <w:sz w:val="24"/>
          <w:szCs w:val="24"/>
        </w:rPr>
        <w:t>Radiocommunications Act 1992</w:t>
      </w:r>
    </w:p>
    <w:p w:rsidR="00EC5913" w:rsidRPr="0053183F" w:rsidRDefault="00EC5913" w:rsidP="00EC5913">
      <w:pPr>
        <w:spacing w:after="60"/>
        <w:ind w:right="-45"/>
        <w:jc w:val="left"/>
        <w:rPr>
          <w:sz w:val="22"/>
          <w:szCs w:val="22"/>
        </w:rPr>
      </w:pPr>
      <w:r w:rsidRPr="0053183F">
        <w:rPr>
          <w:sz w:val="22"/>
          <w:szCs w:val="22"/>
        </w:rPr>
        <w:t>Radiocommunications (Compliance Labelling – Electromagnetic Radiation) Amendment Notice Notice 2013 (No. 1) [F2013L00086]</w:t>
      </w:r>
    </w:p>
    <w:p w:rsidR="00EC5913" w:rsidRPr="0053183F" w:rsidRDefault="00EC5913" w:rsidP="00EC5913">
      <w:pPr>
        <w:spacing w:after="60"/>
        <w:ind w:right="-45"/>
        <w:jc w:val="left"/>
        <w:rPr>
          <w:sz w:val="22"/>
          <w:szCs w:val="22"/>
        </w:rPr>
      </w:pPr>
      <w:r w:rsidRPr="0053183F">
        <w:rPr>
          <w:sz w:val="22"/>
          <w:szCs w:val="22"/>
        </w:rPr>
        <w:t>Radiocommunications Devices (Compliance Labelling) Amendment Notice 2013 (No. 1) [F2013L00085]</w:t>
      </w:r>
    </w:p>
    <w:p w:rsidR="00EC5913" w:rsidRPr="0053183F" w:rsidRDefault="00EC5913" w:rsidP="00EC5913">
      <w:pPr>
        <w:spacing w:after="60"/>
        <w:ind w:right="-45"/>
        <w:jc w:val="left"/>
        <w:rPr>
          <w:sz w:val="22"/>
          <w:szCs w:val="22"/>
        </w:rPr>
      </w:pPr>
      <w:r w:rsidRPr="0053183F">
        <w:rPr>
          <w:sz w:val="22"/>
          <w:szCs w:val="22"/>
        </w:rPr>
        <w:t>Radiocommunications Labelling (Electromagnetic Compatibility) Amendment Notice 2013 (No. 1) [F2013L00084]</w:t>
      </w:r>
    </w:p>
    <w:p w:rsidR="00EC5913" w:rsidRPr="0053183F" w:rsidRDefault="00EC5913" w:rsidP="00EC5913">
      <w:pPr>
        <w:spacing w:after="0"/>
        <w:ind w:right="-46"/>
        <w:jc w:val="left"/>
        <w:rPr>
          <w:sz w:val="22"/>
          <w:szCs w:val="22"/>
        </w:rPr>
      </w:pPr>
      <w:r w:rsidRPr="0053183F">
        <w:rPr>
          <w:sz w:val="22"/>
          <w:szCs w:val="22"/>
        </w:rPr>
        <w:t>Protected Symbols Determination 2013 [F2013L00087]</w:t>
      </w:r>
    </w:p>
    <w:p w:rsidR="00EC5913" w:rsidRPr="0053183F" w:rsidRDefault="00EC5913" w:rsidP="00EC5913">
      <w:pPr>
        <w:spacing w:after="0"/>
        <w:ind w:right="-46"/>
        <w:rPr>
          <w:sz w:val="22"/>
          <w:szCs w:val="22"/>
        </w:rPr>
      </w:pPr>
    </w:p>
    <w:p w:rsidR="00EC5913" w:rsidRPr="0053183F" w:rsidRDefault="00EC5913" w:rsidP="003F17A2">
      <w:pPr>
        <w:spacing w:after="120"/>
        <w:ind w:right="-45"/>
        <w:rPr>
          <w:sz w:val="24"/>
          <w:szCs w:val="24"/>
        </w:rPr>
      </w:pPr>
      <w:r w:rsidRPr="0053183F">
        <w:rPr>
          <w:b/>
          <w:i/>
          <w:sz w:val="24"/>
          <w:szCs w:val="24"/>
        </w:rPr>
        <w:t>Telecommunications Act 1997</w:t>
      </w:r>
    </w:p>
    <w:p w:rsidR="00EC5913" w:rsidRPr="0053183F" w:rsidRDefault="00EC5913" w:rsidP="00EC5913">
      <w:pPr>
        <w:spacing w:after="0"/>
        <w:ind w:right="-46"/>
        <w:jc w:val="left"/>
        <w:rPr>
          <w:sz w:val="22"/>
          <w:szCs w:val="22"/>
        </w:rPr>
      </w:pPr>
      <w:r w:rsidRPr="0053183F">
        <w:rPr>
          <w:sz w:val="22"/>
          <w:szCs w:val="22"/>
        </w:rPr>
        <w:t>Telecommunications Labelling (Customer Equipment and Customer Cabling) Amendment Notice 2013 (No. 1) [F2013L00088]</w:t>
      </w:r>
    </w:p>
    <w:p w:rsidR="00EC5913" w:rsidRPr="00C45C72" w:rsidRDefault="00EC5913" w:rsidP="003F17A2">
      <w:pPr>
        <w:pStyle w:val="Heading3"/>
        <w:tabs>
          <w:tab w:val="left" w:pos="284"/>
        </w:tabs>
        <w:spacing w:before="240" w:after="240"/>
        <w:jc w:val="center"/>
        <w:rPr>
          <w:u w:val="single"/>
        </w:rPr>
      </w:pPr>
      <w:r w:rsidRPr="00C45C72">
        <w:rPr>
          <w:u w:val="single"/>
        </w:rPr>
        <w:t xml:space="preserve">Instruments received week ending </w:t>
      </w:r>
      <w:r>
        <w:rPr>
          <w:u w:val="single"/>
        </w:rPr>
        <w:t>8 February 2013</w:t>
      </w:r>
    </w:p>
    <w:p w:rsidR="00EC5913" w:rsidRPr="0053183F" w:rsidRDefault="00EC5913" w:rsidP="003F17A2">
      <w:pPr>
        <w:spacing w:after="120"/>
        <w:ind w:right="-45"/>
        <w:rPr>
          <w:sz w:val="24"/>
          <w:szCs w:val="24"/>
        </w:rPr>
      </w:pPr>
      <w:r w:rsidRPr="0053183F">
        <w:rPr>
          <w:b/>
          <w:i/>
          <w:sz w:val="24"/>
          <w:szCs w:val="24"/>
        </w:rPr>
        <w:t>Australian Prudential Regulation Authority Act 1998</w:t>
      </w:r>
    </w:p>
    <w:p w:rsidR="00EC5913" w:rsidRPr="0053183F" w:rsidRDefault="00EC5913" w:rsidP="00EC5913">
      <w:pPr>
        <w:spacing w:after="0"/>
        <w:ind w:right="-46"/>
        <w:jc w:val="left"/>
        <w:rPr>
          <w:color w:val="000000"/>
          <w:sz w:val="22"/>
          <w:szCs w:val="22"/>
        </w:rPr>
      </w:pPr>
      <w:r w:rsidRPr="0053183F">
        <w:rPr>
          <w:color w:val="000000"/>
          <w:sz w:val="22"/>
          <w:szCs w:val="22"/>
        </w:rPr>
        <w:t>Australian Prudential Regulation Authority (confidentiality) determination No. 1 of 2013 [F2013L00115]</w:t>
      </w:r>
    </w:p>
    <w:p w:rsidR="00EC5913" w:rsidRPr="0053183F" w:rsidRDefault="00EC5913" w:rsidP="00EC5913">
      <w:pPr>
        <w:spacing w:after="0"/>
        <w:ind w:right="-46"/>
        <w:rPr>
          <w:sz w:val="22"/>
          <w:szCs w:val="22"/>
        </w:rPr>
      </w:pPr>
    </w:p>
    <w:p w:rsidR="00EC5913" w:rsidRPr="0053183F" w:rsidRDefault="00EC5913" w:rsidP="003F17A2">
      <w:pPr>
        <w:spacing w:after="120"/>
        <w:ind w:right="-45"/>
        <w:rPr>
          <w:sz w:val="24"/>
          <w:szCs w:val="24"/>
        </w:rPr>
      </w:pPr>
      <w:r w:rsidRPr="0053183F">
        <w:rPr>
          <w:b/>
          <w:i/>
          <w:sz w:val="24"/>
          <w:szCs w:val="24"/>
        </w:rPr>
        <w:t>Carbon Credits (Carbon Farming Initiative) Act 2011</w:t>
      </w:r>
    </w:p>
    <w:p w:rsidR="00EC5913" w:rsidRPr="0053183F" w:rsidRDefault="00EC5913" w:rsidP="00EC5913">
      <w:pPr>
        <w:ind w:right="-45"/>
        <w:jc w:val="left"/>
        <w:rPr>
          <w:color w:val="000000"/>
          <w:sz w:val="22"/>
          <w:szCs w:val="22"/>
        </w:rPr>
      </w:pPr>
      <w:r w:rsidRPr="0053183F">
        <w:rPr>
          <w:color w:val="000000"/>
          <w:sz w:val="22"/>
          <w:szCs w:val="22"/>
        </w:rPr>
        <w:t>Carbon Credits (Carbon Farming Initiative) (Destruction of Methane from Piggeries using Engineered Biodigesters) Methodology Determination 2013 [F2013L00124]</w:t>
      </w:r>
    </w:p>
    <w:p w:rsidR="00EC5913" w:rsidRPr="0053183F" w:rsidRDefault="00EC5913" w:rsidP="00EC5913">
      <w:pPr>
        <w:ind w:right="-45"/>
        <w:jc w:val="left"/>
        <w:rPr>
          <w:color w:val="000000"/>
          <w:sz w:val="22"/>
          <w:szCs w:val="22"/>
        </w:rPr>
      </w:pPr>
      <w:r w:rsidRPr="0053183F">
        <w:rPr>
          <w:color w:val="000000"/>
          <w:sz w:val="22"/>
          <w:szCs w:val="22"/>
        </w:rPr>
        <w:t>Carbon Credits (Carbon Farming Initiative) (Diversion of Legacy Waste to an Alternative Waste Treatment Facility) Methodology Determination 2013 [F2013L00161]</w:t>
      </w:r>
    </w:p>
    <w:p w:rsidR="00EC5913" w:rsidRPr="0053183F" w:rsidRDefault="00EC5913" w:rsidP="00EC5913">
      <w:pPr>
        <w:ind w:right="-45"/>
        <w:jc w:val="left"/>
        <w:rPr>
          <w:color w:val="000000"/>
          <w:sz w:val="22"/>
          <w:szCs w:val="22"/>
        </w:rPr>
      </w:pPr>
      <w:r w:rsidRPr="0053183F">
        <w:rPr>
          <w:color w:val="000000"/>
          <w:sz w:val="22"/>
          <w:szCs w:val="22"/>
        </w:rPr>
        <w:t>Carbon Credits (Carbon Farming Initiative) (Human Induced Regeneration of a Permanent Even-Aged Native Forest) Methodology Determination 2013 [F2013L00162]</w:t>
      </w:r>
    </w:p>
    <w:p w:rsidR="00EC5913" w:rsidRPr="0053183F" w:rsidRDefault="00EC5913" w:rsidP="00EC5913">
      <w:pPr>
        <w:spacing w:after="0"/>
        <w:ind w:right="-46"/>
        <w:jc w:val="left"/>
        <w:rPr>
          <w:color w:val="000000"/>
          <w:sz w:val="22"/>
          <w:szCs w:val="22"/>
        </w:rPr>
      </w:pPr>
      <w:r w:rsidRPr="0053183F">
        <w:rPr>
          <w:color w:val="000000"/>
          <w:sz w:val="22"/>
          <w:szCs w:val="22"/>
        </w:rPr>
        <w:lastRenderedPageBreak/>
        <w:t>Carbon Credits (Carbon Farming Initiative) (Reforestation and Afforestation) Methodology Determination 2013 [F2013L00123]</w:t>
      </w:r>
    </w:p>
    <w:p w:rsidR="00EC5913" w:rsidRPr="0053183F" w:rsidRDefault="00EC5913" w:rsidP="00EC5913">
      <w:pPr>
        <w:spacing w:after="0"/>
        <w:ind w:right="-46"/>
        <w:rPr>
          <w:sz w:val="22"/>
          <w:szCs w:val="22"/>
        </w:rPr>
      </w:pPr>
    </w:p>
    <w:p w:rsidR="00EC5913" w:rsidRPr="0053183F" w:rsidRDefault="00EC5913" w:rsidP="003F17A2">
      <w:pPr>
        <w:spacing w:after="120"/>
        <w:ind w:right="-45"/>
        <w:rPr>
          <w:sz w:val="24"/>
          <w:szCs w:val="24"/>
        </w:rPr>
      </w:pPr>
      <w:r w:rsidRPr="0053183F">
        <w:rPr>
          <w:b/>
          <w:i/>
          <w:sz w:val="24"/>
          <w:szCs w:val="24"/>
        </w:rPr>
        <w:t>Civil Aviation Act 1988</w:t>
      </w:r>
    </w:p>
    <w:p w:rsidR="00EC5913" w:rsidRPr="0053183F" w:rsidRDefault="00EC5913" w:rsidP="00EC5913">
      <w:pPr>
        <w:spacing w:after="60"/>
        <w:ind w:right="-45"/>
        <w:jc w:val="left"/>
        <w:rPr>
          <w:color w:val="000000"/>
          <w:sz w:val="22"/>
          <w:szCs w:val="22"/>
        </w:rPr>
      </w:pPr>
      <w:r w:rsidRPr="0053183F">
        <w:rPr>
          <w:color w:val="000000"/>
          <w:sz w:val="22"/>
          <w:szCs w:val="22"/>
        </w:rPr>
        <w:t>AD/CESSNA 400/119 - Airframe Life Limitation [F2013L00104]</w:t>
      </w:r>
    </w:p>
    <w:p w:rsidR="00EC5913" w:rsidRPr="0053183F" w:rsidRDefault="00EC5913" w:rsidP="00EC5913">
      <w:pPr>
        <w:spacing w:after="60"/>
        <w:ind w:right="-45"/>
        <w:jc w:val="left"/>
        <w:rPr>
          <w:color w:val="000000"/>
          <w:sz w:val="22"/>
          <w:szCs w:val="22"/>
        </w:rPr>
      </w:pPr>
      <w:r w:rsidRPr="0053183F">
        <w:rPr>
          <w:color w:val="000000"/>
          <w:sz w:val="22"/>
          <w:szCs w:val="22"/>
        </w:rPr>
        <w:t>CASA 14/13 – Instructions – GNSS as primary means of navigation for NDB and VOR (overlay) approach – Qantas Airways Limited [F2013L00157]</w:t>
      </w:r>
    </w:p>
    <w:p w:rsidR="00EC5913" w:rsidRPr="0053183F" w:rsidRDefault="00EC5913" w:rsidP="00EC5913">
      <w:pPr>
        <w:spacing w:after="60"/>
        <w:ind w:right="-45"/>
        <w:jc w:val="left"/>
        <w:rPr>
          <w:color w:val="000000"/>
          <w:sz w:val="22"/>
          <w:szCs w:val="22"/>
        </w:rPr>
      </w:pPr>
      <w:r w:rsidRPr="0053183F">
        <w:rPr>
          <w:color w:val="000000"/>
          <w:sz w:val="22"/>
          <w:szCs w:val="22"/>
        </w:rPr>
        <w:t>CASA ADCX 002/13 - Revocation of Airworthiness Directives [F2013L00106]</w:t>
      </w:r>
    </w:p>
    <w:p w:rsidR="00EC5913" w:rsidRPr="0053183F" w:rsidRDefault="00EC5913" w:rsidP="00EC5913">
      <w:pPr>
        <w:spacing w:after="60"/>
        <w:ind w:right="-45"/>
        <w:jc w:val="left"/>
        <w:rPr>
          <w:color w:val="000000"/>
          <w:sz w:val="22"/>
          <w:szCs w:val="22"/>
        </w:rPr>
      </w:pPr>
      <w:r w:rsidRPr="0053183F">
        <w:rPr>
          <w:color w:val="000000"/>
          <w:sz w:val="22"/>
          <w:szCs w:val="22"/>
        </w:rPr>
        <w:t>CASA EX180/12 - Exemption - maintenance on limited category and experimental aircraft [F2013L00096]</w:t>
      </w:r>
    </w:p>
    <w:p w:rsidR="00EC5913" w:rsidRPr="0053183F" w:rsidRDefault="00EC5913" w:rsidP="00EC5913">
      <w:pPr>
        <w:spacing w:after="60"/>
        <w:ind w:right="-45"/>
        <w:jc w:val="left"/>
        <w:rPr>
          <w:color w:val="000000"/>
          <w:sz w:val="22"/>
          <w:szCs w:val="22"/>
        </w:rPr>
      </w:pPr>
      <w:r w:rsidRPr="0053183F">
        <w:rPr>
          <w:color w:val="000000"/>
          <w:sz w:val="22"/>
          <w:szCs w:val="22"/>
        </w:rPr>
        <w:t>CASA EX01/13 - Exemption - recency requirements for night flying (Alliance Airlines Pty Limited) [F2013L00114]</w:t>
      </w:r>
    </w:p>
    <w:p w:rsidR="00EC5913" w:rsidRPr="0053183F" w:rsidRDefault="00EC5913" w:rsidP="00EC5913">
      <w:pPr>
        <w:spacing w:after="60"/>
        <w:ind w:right="-45"/>
        <w:jc w:val="left"/>
        <w:rPr>
          <w:color w:val="000000"/>
          <w:sz w:val="22"/>
          <w:szCs w:val="22"/>
        </w:rPr>
      </w:pPr>
      <w:r w:rsidRPr="0053183F">
        <w:rPr>
          <w:color w:val="000000"/>
          <w:sz w:val="22"/>
          <w:szCs w:val="22"/>
        </w:rPr>
        <w:t>CASA EX06/13 - Exemption - for cabin crew member to use passenger seat [F2013L00103]</w:t>
      </w:r>
    </w:p>
    <w:p w:rsidR="00EC5913" w:rsidRPr="0053183F" w:rsidRDefault="00EC5913" w:rsidP="00EC5913">
      <w:pPr>
        <w:spacing w:after="60"/>
        <w:ind w:right="-45"/>
        <w:jc w:val="left"/>
        <w:rPr>
          <w:color w:val="000000"/>
          <w:sz w:val="22"/>
          <w:szCs w:val="22"/>
        </w:rPr>
      </w:pPr>
      <w:r w:rsidRPr="0053183F">
        <w:rPr>
          <w:color w:val="000000"/>
          <w:sz w:val="22"/>
          <w:szCs w:val="22"/>
        </w:rPr>
        <w:t>CASA EX07/13 - Exemption - carriage of cockpit voice recorders and flight data recorders [F2013L00137]</w:t>
      </w:r>
    </w:p>
    <w:p w:rsidR="00EC5913" w:rsidRPr="0053183F" w:rsidRDefault="00EC5913" w:rsidP="00EC5913">
      <w:pPr>
        <w:spacing w:after="60"/>
        <w:ind w:right="-45"/>
        <w:jc w:val="left"/>
        <w:rPr>
          <w:color w:val="000000"/>
          <w:sz w:val="22"/>
          <w:szCs w:val="22"/>
        </w:rPr>
      </w:pPr>
      <w:r w:rsidRPr="0053183F">
        <w:rPr>
          <w:color w:val="000000"/>
          <w:sz w:val="22"/>
          <w:szCs w:val="22"/>
        </w:rPr>
        <w:t>CASA EX08/13 - Exemption - from standard take-off and landing minima - DHL Air Ltd [F2013L00145]</w:t>
      </w:r>
    </w:p>
    <w:p w:rsidR="00EC5913" w:rsidRPr="0053183F" w:rsidRDefault="00EC5913" w:rsidP="00EC5913">
      <w:pPr>
        <w:spacing w:after="0"/>
        <w:ind w:right="-46"/>
        <w:jc w:val="left"/>
        <w:rPr>
          <w:color w:val="000000"/>
          <w:sz w:val="22"/>
          <w:szCs w:val="22"/>
        </w:rPr>
      </w:pPr>
      <w:r w:rsidRPr="0053183F">
        <w:rPr>
          <w:color w:val="000000"/>
          <w:sz w:val="22"/>
          <w:szCs w:val="22"/>
        </w:rPr>
        <w:t>CASA EX09/13 - Exemption - use of ADS-B in aircraft operated Aerolineas Argentinas [F2013L00153]</w:t>
      </w:r>
    </w:p>
    <w:p w:rsidR="00EC5913" w:rsidRPr="0053183F" w:rsidRDefault="00EC5913" w:rsidP="00EC5913">
      <w:pPr>
        <w:spacing w:after="0"/>
        <w:ind w:right="-46"/>
        <w:rPr>
          <w:sz w:val="22"/>
          <w:szCs w:val="22"/>
        </w:rPr>
      </w:pPr>
    </w:p>
    <w:p w:rsidR="00EC5913" w:rsidRPr="0053183F" w:rsidRDefault="00EC5913" w:rsidP="003F17A2">
      <w:pPr>
        <w:spacing w:after="120"/>
        <w:ind w:right="-45"/>
        <w:rPr>
          <w:sz w:val="24"/>
          <w:szCs w:val="24"/>
        </w:rPr>
      </w:pPr>
      <w:r w:rsidRPr="0053183F">
        <w:rPr>
          <w:b/>
          <w:i/>
          <w:sz w:val="24"/>
          <w:szCs w:val="24"/>
        </w:rPr>
        <w:t>Currency Act 1965</w:t>
      </w:r>
    </w:p>
    <w:p w:rsidR="00EC5913" w:rsidRPr="0053183F" w:rsidRDefault="00EC5913" w:rsidP="00EC5913">
      <w:pPr>
        <w:spacing w:after="0"/>
        <w:ind w:right="-46"/>
        <w:jc w:val="left"/>
        <w:rPr>
          <w:color w:val="000000"/>
          <w:sz w:val="22"/>
          <w:szCs w:val="22"/>
        </w:rPr>
      </w:pPr>
      <w:r w:rsidRPr="0053183F">
        <w:rPr>
          <w:color w:val="000000"/>
          <w:sz w:val="22"/>
          <w:szCs w:val="22"/>
        </w:rPr>
        <w:t>Currency Legislation (Royal Australian Mint) Amendment Determination 2013 (No. 1) [F2013L00132]</w:t>
      </w:r>
    </w:p>
    <w:p w:rsidR="00EC5913" w:rsidRPr="0053183F" w:rsidRDefault="00EC5913" w:rsidP="00EC5913">
      <w:pPr>
        <w:spacing w:after="0"/>
        <w:ind w:right="-46"/>
        <w:rPr>
          <w:sz w:val="22"/>
          <w:szCs w:val="22"/>
        </w:rPr>
      </w:pPr>
    </w:p>
    <w:p w:rsidR="00EC5913" w:rsidRPr="0053183F" w:rsidRDefault="00EC5913" w:rsidP="003F17A2">
      <w:pPr>
        <w:spacing w:after="120"/>
        <w:ind w:right="-45"/>
        <w:rPr>
          <w:b/>
          <w:sz w:val="24"/>
          <w:szCs w:val="24"/>
        </w:rPr>
      </w:pPr>
      <w:r w:rsidRPr="0053183F">
        <w:rPr>
          <w:b/>
          <w:i/>
          <w:sz w:val="24"/>
          <w:szCs w:val="24"/>
        </w:rPr>
        <w:t>Customs Act 1901</w:t>
      </w:r>
    </w:p>
    <w:p w:rsidR="00EC5913" w:rsidRPr="0053183F" w:rsidRDefault="00EC5913" w:rsidP="00EC5913">
      <w:pPr>
        <w:spacing w:after="60"/>
        <w:ind w:right="-45"/>
        <w:jc w:val="left"/>
        <w:rPr>
          <w:color w:val="000000"/>
          <w:sz w:val="22"/>
          <w:szCs w:val="22"/>
        </w:rPr>
      </w:pPr>
      <w:r w:rsidRPr="0053183F">
        <w:rPr>
          <w:color w:val="000000"/>
          <w:sz w:val="22"/>
          <w:szCs w:val="22"/>
        </w:rPr>
        <w:t>Customs Act 1901 - Amendment of Approved Statement Instrument No. 1 of 2013 - Amendment of "Cargo Report (Air)") [F2013L00133]</w:t>
      </w:r>
    </w:p>
    <w:p w:rsidR="00EC5913" w:rsidRPr="0053183F" w:rsidRDefault="00EC5913" w:rsidP="00EC5913">
      <w:pPr>
        <w:spacing w:after="60"/>
        <w:ind w:right="-45"/>
        <w:jc w:val="left"/>
        <w:rPr>
          <w:color w:val="000000"/>
          <w:sz w:val="22"/>
          <w:szCs w:val="22"/>
        </w:rPr>
      </w:pPr>
      <w:r w:rsidRPr="0053183F">
        <w:rPr>
          <w:color w:val="000000"/>
          <w:sz w:val="22"/>
          <w:szCs w:val="22"/>
        </w:rPr>
        <w:t>Customs Act 1901 - Amendment of Approved Statement Instrument No. 2 of 2013 - Amendment of "Self-Assessed Clearance Declaration (Air) (To be Communicated with a Cargo Report)" [F2013L00134]</w:t>
      </w:r>
    </w:p>
    <w:p w:rsidR="00EC5913" w:rsidRPr="0053183F" w:rsidRDefault="00EC5913" w:rsidP="00EC5913">
      <w:pPr>
        <w:spacing w:after="60"/>
        <w:ind w:right="-45"/>
        <w:jc w:val="left"/>
        <w:rPr>
          <w:color w:val="000000"/>
          <w:sz w:val="22"/>
          <w:szCs w:val="22"/>
        </w:rPr>
      </w:pPr>
      <w:r w:rsidRPr="0053183F">
        <w:rPr>
          <w:color w:val="000000"/>
          <w:sz w:val="22"/>
          <w:szCs w:val="22"/>
        </w:rPr>
        <w:t>Customs Act 1901 - Amendment of Approved Statement Instrument No. 3 of 2013 - Amendment of "Import Declaration (N10)" [F2013L00135]</w:t>
      </w:r>
    </w:p>
    <w:p w:rsidR="00EC5913" w:rsidRPr="0053183F" w:rsidRDefault="00EC5913" w:rsidP="00EC5913">
      <w:pPr>
        <w:spacing w:after="60"/>
        <w:ind w:right="-45"/>
        <w:jc w:val="left"/>
        <w:rPr>
          <w:color w:val="000000"/>
          <w:sz w:val="22"/>
          <w:szCs w:val="22"/>
        </w:rPr>
      </w:pPr>
      <w:r w:rsidRPr="0053183F">
        <w:rPr>
          <w:color w:val="000000"/>
          <w:sz w:val="22"/>
          <w:szCs w:val="22"/>
        </w:rPr>
        <w:t>Customs Act 1901 - Amendment of Approved Statement Instrument No. 4 of 2013 - Amendment of "Warehouse Declaration (N20)" [F2013L00138]</w:t>
      </w:r>
    </w:p>
    <w:p w:rsidR="00EC5913" w:rsidRPr="0053183F" w:rsidRDefault="00EC5913" w:rsidP="00EC5913">
      <w:pPr>
        <w:spacing w:after="60"/>
        <w:ind w:right="-45"/>
        <w:jc w:val="left"/>
        <w:rPr>
          <w:color w:val="000000"/>
          <w:sz w:val="22"/>
          <w:szCs w:val="22"/>
        </w:rPr>
      </w:pPr>
      <w:r w:rsidRPr="0053183F">
        <w:rPr>
          <w:color w:val="000000"/>
          <w:sz w:val="22"/>
          <w:szCs w:val="22"/>
        </w:rPr>
        <w:t>Customs Act 1901 - Amendment of Approved Statement Instrument No. 5 of 2013 - Amendment of "SAC (Short Form)" [F2013L00139]</w:t>
      </w:r>
    </w:p>
    <w:p w:rsidR="00EC5913" w:rsidRPr="0053183F" w:rsidRDefault="00EC5913" w:rsidP="00EC5913">
      <w:pPr>
        <w:spacing w:after="0"/>
        <w:ind w:right="-46"/>
        <w:jc w:val="left"/>
        <w:rPr>
          <w:color w:val="000000"/>
          <w:sz w:val="22"/>
          <w:szCs w:val="22"/>
        </w:rPr>
      </w:pPr>
      <w:r w:rsidRPr="0053183F">
        <w:rPr>
          <w:color w:val="000000"/>
          <w:sz w:val="22"/>
          <w:szCs w:val="22"/>
        </w:rPr>
        <w:t>Customs Act 1901 - Amendment of Approved Statement Instrument No. 6 of 2013 - Amendment of "Self-Assessed Clearance Declaration (Sea) (To Be Communicated With a Cargo Report)" [F2013L00142]</w:t>
      </w:r>
    </w:p>
    <w:p w:rsidR="00EC5913" w:rsidRPr="0053183F" w:rsidRDefault="00EC5913" w:rsidP="00EC5913">
      <w:pPr>
        <w:spacing w:after="0"/>
        <w:ind w:right="-46"/>
        <w:rPr>
          <w:sz w:val="22"/>
          <w:szCs w:val="22"/>
        </w:rPr>
      </w:pPr>
    </w:p>
    <w:p w:rsidR="00EC5913" w:rsidRPr="0053183F" w:rsidRDefault="00EC5913" w:rsidP="003F17A2">
      <w:pPr>
        <w:spacing w:after="120"/>
        <w:ind w:right="-45"/>
        <w:rPr>
          <w:sz w:val="24"/>
          <w:szCs w:val="24"/>
        </w:rPr>
      </w:pPr>
      <w:r w:rsidRPr="0053183F">
        <w:rPr>
          <w:b/>
          <w:i/>
          <w:sz w:val="24"/>
          <w:szCs w:val="24"/>
        </w:rPr>
        <w:t>Environment Protection and Biodiversity Conservation Act 1999</w:t>
      </w:r>
    </w:p>
    <w:p w:rsidR="00EC5913" w:rsidRPr="0053183F" w:rsidRDefault="00EC5913" w:rsidP="00EC5913">
      <w:pPr>
        <w:spacing w:after="60"/>
        <w:ind w:right="-45"/>
        <w:jc w:val="left"/>
        <w:rPr>
          <w:color w:val="000000"/>
          <w:sz w:val="22"/>
          <w:szCs w:val="22"/>
        </w:rPr>
      </w:pPr>
      <w:r w:rsidRPr="0053183F">
        <w:rPr>
          <w:color w:val="000000"/>
          <w:sz w:val="22"/>
          <w:szCs w:val="22"/>
        </w:rPr>
        <w:t xml:space="preserve">Amendment of List of Exempt Native Specimens - Northern Territory Spanish </w:t>
      </w:r>
      <w:proofErr w:type="gramStart"/>
      <w:r w:rsidRPr="0053183F">
        <w:rPr>
          <w:color w:val="000000"/>
          <w:sz w:val="22"/>
          <w:szCs w:val="22"/>
        </w:rPr>
        <w:t>Mackerel</w:t>
      </w:r>
      <w:proofErr w:type="gramEnd"/>
      <w:r w:rsidRPr="0053183F">
        <w:rPr>
          <w:color w:val="000000"/>
          <w:sz w:val="22"/>
          <w:szCs w:val="22"/>
        </w:rPr>
        <w:t xml:space="preserve"> Fishery (25/01/2013) [F2013L00152]</w:t>
      </w:r>
    </w:p>
    <w:p w:rsidR="00EC5913" w:rsidRPr="0053183F" w:rsidRDefault="00EC5913" w:rsidP="00EC5913">
      <w:pPr>
        <w:spacing w:after="60"/>
        <w:ind w:right="-45"/>
        <w:jc w:val="left"/>
        <w:rPr>
          <w:color w:val="000000"/>
          <w:sz w:val="22"/>
          <w:szCs w:val="22"/>
        </w:rPr>
      </w:pPr>
      <w:r w:rsidRPr="0053183F">
        <w:rPr>
          <w:color w:val="000000"/>
          <w:sz w:val="22"/>
          <w:szCs w:val="22"/>
        </w:rPr>
        <w:t>Amendment of List of Exempt Native Specimens - Pandanus spiralis (18/12/2012) [F2013L00107]</w:t>
      </w:r>
    </w:p>
    <w:p w:rsidR="00EC5913" w:rsidRPr="0053183F" w:rsidRDefault="00EC5913" w:rsidP="00EC5913">
      <w:pPr>
        <w:spacing w:after="60"/>
        <w:ind w:right="-45"/>
        <w:jc w:val="left"/>
        <w:rPr>
          <w:color w:val="000000"/>
          <w:sz w:val="22"/>
          <w:szCs w:val="22"/>
        </w:rPr>
      </w:pPr>
      <w:r w:rsidRPr="0053183F">
        <w:rPr>
          <w:color w:val="000000"/>
          <w:sz w:val="22"/>
          <w:szCs w:val="22"/>
        </w:rPr>
        <w:t>Amendment of List of Exempt Native Specimens - Western Australian Shark Bay Prawn Managed Fishery (28/01/2013) (deletion) [F2013L00129]</w:t>
      </w:r>
    </w:p>
    <w:p w:rsidR="00EC5913" w:rsidRPr="0053183F" w:rsidRDefault="00EC5913" w:rsidP="00EC5913">
      <w:pPr>
        <w:spacing w:after="60"/>
        <w:ind w:right="-45"/>
        <w:jc w:val="left"/>
        <w:rPr>
          <w:color w:val="000000"/>
          <w:sz w:val="22"/>
          <w:szCs w:val="22"/>
        </w:rPr>
      </w:pPr>
      <w:r w:rsidRPr="0053183F">
        <w:rPr>
          <w:color w:val="000000"/>
          <w:sz w:val="22"/>
          <w:szCs w:val="22"/>
        </w:rPr>
        <w:t>Amendment of List of Exempt Native Specimens - Western Australian Shark Bay Prawn Managed Fishery (28/01/2013) (inclusion) [F2013L00128]</w:t>
      </w:r>
    </w:p>
    <w:p w:rsidR="00EC5913" w:rsidRPr="0053183F" w:rsidRDefault="00EC5913" w:rsidP="00EC5913">
      <w:pPr>
        <w:spacing w:after="60"/>
        <w:ind w:right="-45"/>
        <w:jc w:val="left"/>
        <w:rPr>
          <w:color w:val="000000"/>
          <w:sz w:val="22"/>
          <w:szCs w:val="22"/>
        </w:rPr>
      </w:pPr>
      <w:r w:rsidRPr="0053183F">
        <w:rPr>
          <w:color w:val="000000"/>
          <w:sz w:val="22"/>
          <w:szCs w:val="22"/>
        </w:rPr>
        <w:lastRenderedPageBreak/>
        <w:t>Amendment of List of Exempt Native Specimens - Western Australian Shark Bay Scallop Managed Fishery (28/01/2013) (deletion) [F2013L00127]</w:t>
      </w:r>
    </w:p>
    <w:p w:rsidR="00EC5913" w:rsidRPr="0053183F" w:rsidRDefault="00EC5913" w:rsidP="00EC5913">
      <w:pPr>
        <w:spacing w:after="60"/>
        <w:ind w:right="-45"/>
        <w:jc w:val="left"/>
        <w:rPr>
          <w:color w:val="000000"/>
          <w:sz w:val="22"/>
          <w:szCs w:val="22"/>
        </w:rPr>
      </w:pPr>
      <w:r w:rsidRPr="0053183F">
        <w:rPr>
          <w:color w:val="000000"/>
          <w:sz w:val="22"/>
          <w:szCs w:val="22"/>
        </w:rPr>
        <w:t>Amendment of List of Exempt Native Specimens - Western Australian Shark Bay Scallop Managed Fishery (28/01/2013) (inclusion) [F2013L00126]</w:t>
      </w:r>
    </w:p>
    <w:p w:rsidR="00EC5913" w:rsidRPr="0053183F" w:rsidRDefault="00EC5913" w:rsidP="00EC5913">
      <w:pPr>
        <w:spacing w:after="0"/>
        <w:ind w:right="-46"/>
        <w:jc w:val="left"/>
        <w:rPr>
          <w:color w:val="000000"/>
          <w:sz w:val="22"/>
          <w:szCs w:val="22"/>
        </w:rPr>
      </w:pPr>
      <w:r w:rsidRPr="0053183F">
        <w:rPr>
          <w:color w:val="000000"/>
          <w:sz w:val="22"/>
          <w:szCs w:val="22"/>
        </w:rPr>
        <w:t>Amendment - List of Specimens Taken to be suitable for Live Import (03/01/2013) [F2013L00105]</w:t>
      </w:r>
    </w:p>
    <w:p w:rsidR="00EC5913" w:rsidRPr="0053183F" w:rsidRDefault="00EC5913" w:rsidP="00EC5913">
      <w:pPr>
        <w:spacing w:after="0"/>
        <w:ind w:right="-46"/>
        <w:rPr>
          <w:sz w:val="22"/>
          <w:szCs w:val="22"/>
        </w:rPr>
      </w:pPr>
    </w:p>
    <w:p w:rsidR="00EC5913" w:rsidRPr="0053183F" w:rsidRDefault="00EC5913" w:rsidP="003F17A2">
      <w:pPr>
        <w:spacing w:after="120"/>
        <w:ind w:right="-45"/>
        <w:rPr>
          <w:b/>
          <w:sz w:val="24"/>
          <w:szCs w:val="24"/>
        </w:rPr>
      </w:pPr>
      <w:r w:rsidRPr="0053183F">
        <w:rPr>
          <w:b/>
          <w:i/>
          <w:sz w:val="24"/>
          <w:szCs w:val="24"/>
        </w:rPr>
        <w:t>Fair Work (Building Industry) Act 2012</w:t>
      </w:r>
    </w:p>
    <w:p w:rsidR="00EC5913" w:rsidRPr="0053183F" w:rsidRDefault="00EC5913" w:rsidP="00EC5913">
      <w:pPr>
        <w:spacing w:after="0"/>
        <w:ind w:right="-46"/>
        <w:jc w:val="left"/>
        <w:rPr>
          <w:color w:val="000000"/>
          <w:sz w:val="22"/>
          <w:szCs w:val="22"/>
        </w:rPr>
      </w:pPr>
      <w:r w:rsidRPr="0053183F">
        <w:rPr>
          <w:color w:val="000000"/>
          <w:sz w:val="22"/>
          <w:szCs w:val="22"/>
        </w:rPr>
        <w:t>Building Code 2013 [F2013L00130]</w:t>
      </w:r>
    </w:p>
    <w:p w:rsidR="00EC5913" w:rsidRPr="0053183F" w:rsidRDefault="00EC5913" w:rsidP="00EC5913">
      <w:pPr>
        <w:spacing w:after="0"/>
        <w:ind w:right="-46"/>
        <w:rPr>
          <w:sz w:val="22"/>
          <w:szCs w:val="22"/>
        </w:rPr>
      </w:pPr>
    </w:p>
    <w:p w:rsidR="00EC5913" w:rsidRPr="0053183F" w:rsidRDefault="00EC5913" w:rsidP="003F17A2">
      <w:pPr>
        <w:spacing w:after="120"/>
        <w:ind w:right="-45"/>
        <w:rPr>
          <w:i/>
          <w:sz w:val="24"/>
          <w:szCs w:val="24"/>
        </w:rPr>
      </w:pPr>
      <w:r w:rsidRPr="0053183F">
        <w:rPr>
          <w:b/>
          <w:i/>
          <w:sz w:val="24"/>
          <w:szCs w:val="24"/>
        </w:rPr>
        <w:t>Financial Sector (Collection of Data) Act 2001</w:t>
      </w:r>
    </w:p>
    <w:p w:rsidR="00EC5913" w:rsidRPr="0053183F" w:rsidRDefault="00EC5913" w:rsidP="00EC5913">
      <w:pPr>
        <w:spacing w:after="60"/>
        <w:ind w:right="-45"/>
        <w:jc w:val="left"/>
        <w:rPr>
          <w:color w:val="000000"/>
          <w:sz w:val="22"/>
          <w:szCs w:val="22"/>
        </w:rPr>
      </w:pPr>
      <w:r w:rsidRPr="0053183F">
        <w:rPr>
          <w:color w:val="000000"/>
          <w:sz w:val="22"/>
          <w:szCs w:val="22"/>
        </w:rPr>
        <w:t>Financial Sector (Collection of Data) (reporting standard) determination No. 10 of 2013 - GRS 115.0 - Outstanding Claims Liabilities - Insurance Risk Charge [F2013L00109]</w:t>
      </w:r>
    </w:p>
    <w:p w:rsidR="00EC5913" w:rsidRPr="0053183F" w:rsidRDefault="00EC5913" w:rsidP="00EC5913">
      <w:pPr>
        <w:spacing w:after="60"/>
        <w:ind w:right="-45"/>
        <w:jc w:val="left"/>
        <w:rPr>
          <w:color w:val="000000"/>
          <w:sz w:val="22"/>
          <w:szCs w:val="22"/>
        </w:rPr>
      </w:pPr>
      <w:r w:rsidRPr="0053183F">
        <w:rPr>
          <w:color w:val="000000"/>
          <w:sz w:val="22"/>
          <w:szCs w:val="22"/>
        </w:rPr>
        <w:t>Financial Sector (Collection of Data) (reporting standard) determination No. 13 of 2013 - GRS 116.1 - Probable Maximum Loss for LMIs [F2013L00110]</w:t>
      </w:r>
    </w:p>
    <w:p w:rsidR="00EC5913" w:rsidRPr="0053183F" w:rsidRDefault="00EC5913" w:rsidP="00EC5913">
      <w:pPr>
        <w:spacing w:after="60"/>
        <w:ind w:right="-45"/>
        <w:jc w:val="left"/>
        <w:rPr>
          <w:color w:val="000000"/>
          <w:sz w:val="22"/>
          <w:szCs w:val="22"/>
        </w:rPr>
      </w:pPr>
      <w:r w:rsidRPr="0053183F">
        <w:rPr>
          <w:color w:val="000000"/>
          <w:sz w:val="22"/>
          <w:szCs w:val="22"/>
        </w:rPr>
        <w:t>Financial Sector (Collection of Data) (reporting standard) determination No. 14 of 2013 - GRS 117.0 - Asset Concentration Risk Charge [F2013L00136]</w:t>
      </w:r>
    </w:p>
    <w:p w:rsidR="00EC5913" w:rsidRPr="0053183F" w:rsidRDefault="00EC5913" w:rsidP="00EC5913">
      <w:pPr>
        <w:spacing w:after="60"/>
        <w:ind w:right="-45"/>
        <w:jc w:val="left"/>
        <w:rPr>
          <w:color w:val="000000"/>
          <w:sz w:val="22"/>
          <w:szCs w:val="22"/>
        </w:rPr>
      </w:pPr>
      <w:r w:rsidRPr="0053183F">
        <w:rPr>
          <w:color w:val="000000"/>
          <w:sz w:val="22"/>
          <w:szCs w:val="22"/>
        </w:rPr>
        <w:t>Financial Sector (Collection of Data) (reporting standard) determination No. 33 of 2013 - GRS 115.0_G - Outstanding Claims Liabilities - Insurance Risk Charge (Level 2 Insurance Group) [F2013L00097]</w:t>
      </w:r>
    </w:p>
    <w:p w:rsidR="00EC5913" w:rsidRPr="0053183F" w:rsidRDefault="00EC5913" w:rsidP="00EC5913">
      <w:pPr>
        <w:spacing w:after="60"/>
        <w:ind w:right="-45"/>
        <w:jc w:val="left"/>
        <w:rPr>
          <w:color w:val="000000"/>
          <w:sz w:val="22"/>
          <w:szCs w:val="22"/>
        </w:rPr>
      </w:pPr>
      <w:r w:rsidRPr="0053183F">
        <w:rPr>
          <w:color w:val="000000"/>
          <w:sz w:val="22"/>
          <w:szCs w:val="22"/>
        </w:rPr>
        <w:t>Financial Sector (Collection of Data) (reporting standard) determination No. 34 of 2013 - GRS 115.1_G - Premiums Liabilities - Insurance Risk Charge (Level 2 Insurance Group) [F2013L00098]</w:t>
      </w:r>
    </w:p>
    <w:p w:rsidR="00EC5913" w:rsidRPr="0053183F" w:rsidRDefault="00EC5913" w:rsidP="00EC5913">
      <w:pPr>
        <w:spacing w:after="60"/>
        <w:ind w:right="-45"/>
        <w:jc w:val="left"/>
        <w:rPr>
          <w:color w:val="000000"/>
          <w:sz w:val="22"/>
          <w:szCs w:val="22"/>
        </w:rPr>
      </w:pPr>
      <w:r w:rsidRPr="0053183F">
        <w:rPr>
          <w:color w:val="000000"/>
          <w:sz w:val="22"/>
          <w:szCs w:val="22"/>
        </w:rPr>
        <w:t>Financial Sector (Collection of Data) (reporting standard) determination No. 36 of 2013 - GRS 117.0_G - Asset Concentration Risk Charge (Level 2 Insurance Group) [F2013L00099]</w:t>
      </w:r>
    </w:p>
    <w:p w:rsidR="00EC5913" w:rsidRPr="0053183F" w:rsidRDefault="00EC5913" w:rsidP="00EC5913">
      <w:pPr>
        <w:spacing w:after="60"/>
        <w:ind w:right="-45"/>
        <w:jc w:val="left"/>
        <w:rPr>
          <w:color w:val="000000"/>
          <w:sz w:val="22"/>
          <w:szCs w:val="22"/>
        </w:rPr>
      </w:pPr>
      <w:r w:rsidRPr="0053183F">
        <w:rPr>
          <w:color w:val="000000"/>
          <w:sz w:val="22"/>
          <w:szCs w:val="22"/>
        </w:rPr>
        <w:t>Financial Sector (Collection of Data) (reporting standard) determination No. 39 of 2013 - GRS 302.0_G - Statement of Financial Position by Region (Level 2 Insurance Group) [F2013L00101]</w:t>
      </w:r>
    </w:p>
    <w:p w:rsidR="00EC5913" w:rsidRPr="0053183F" w:rsidRDefault="00EC5913" w:rsidP="00EC5913">
      <w:pPr>
        <w:spacing w:after="60"/>
        <w:ind w:right="-45"/>
        <w:jc w:val="left"/>
        <w:rPr>
          <w:color w:val="000000"/>
          <w:sz w:val="22"/>
          <w:szCs w:val="22"/>
        </w:rPr>
      </w:pPr>
      <w:r w:rsidRPr="0053183F">
        <w:rPr>
          <w:color w:val="000000"/>
          <w:sz w:val="22"/>
          <w:szCs w:val="22"/>
        </w:rPr>
        <w:t>Financial Sector (Collection of Data) (reporting standard) determination No. 40 of 2013 - GRS 310.0_G - Income Statement (Level 2 Insurance Group) [F2013L00102]</w:t>
      </w:r>
    </w:p>
    <w:p w:rsidR="00EC5913" w:rsidRPr="0053183F" w:rsidRDefault="00EC5913" w:rsidP="00EC5913">
      <w:pPr>
        <w:spacing w:after="60"/>
        <w:ind w:right="-45"/>
        <w:jc w:val="left"/>
        <w:rPr>
          <w:color w:val="000000"/>
          <w:sz w:val="22"/>
          <w:szCs w:val="22"/>
        </w:rPr>
      </w:pPr>
      <w:r w:rsidRPr="0053183F">
        <w:rPr>
          <w:color w:val="000000"/>
          <w:sz w:val="22"/>
          <w:szCs w:val="22"/>
        </w:rPr>
        <w:t>Financial Sector (Collection of Data) (reporting standard) determination No. 41 of 2013 - GRS 141.0_G (2009) - Listed Equity Holdings and Risk Charge; GRS 301.0_G (2011) - Reinsurance Assets and Risk Charge (Level 2 Insurance Group) [F2013L00119]</w:t>
      </w:r>
    </w:p>
    <w:p w:rsidR="00EC5913" w:rsidRPr="0053183F" w:rsidRDefault="00EC5913" w:rsidP="00EC5913">
      <w:pPr>
        <w:spacing w:after="60"/>
        <w:ind w:right="-45"/>
        <w:jc w:val="left"/>
        <w:rPr>
          <w:color w:val="000000"/>
          <w:sz w:val="22"/>
          <w:szCs w:val="22"/>
        </w:rPr>
      </w:pPr>
      <w:r w:rsidRPr="0053183F">
        <w:rPr>
          <w:color w:val="000000"/>
          <w:sz w:val="22"/>
          <w:szCs w:val="22"/>
        </w:rPr>
        <w:t>Financial Sector (Collection of Data) (reporting standard) determination No. 42 of 2013 - LRS 001 - Reporting Requirements [F2013L00120]</w:t>
      </w:r>
    </w:p>
    <w:p w:rsidR="00EC5913" w:rsidRPr="0053183F" w:rsidRDefault="00EC5913" w:rsidP="00EC5913">
      <w:pPr>
        <w:spacing w:after="60"/>
        <w:ind w:right="-45"/>
        <w:jc w:val="left"/>
        <w:rPr>
          <w:color w:val="000000"/>
          <w:sz w:val="22"/>
          <w:szCs w:val="22"/>
        </w:rPr>
      </w:pPr>
      <w:r w:rsidRPr="0053183F">
        <w:rPr>
          <w:color w:val="000000"/>
          <w:sz w:val="22"/>
          <w:szCs w:val="22"/>
        </w:rPr>
        <w:t>Financial Sector (Collection of Data) (reporting standard) determination No. 43 of 2013 - LRS 110.1 - Prescribed Capital Amount [F2013L00113]</w:t>
      </w:r>
    </w:p>
    <w:p w:rsidR="00EC5913" w:rsidRPr="0053183F" w:rsidRDefault="00EC5913" w:rsidP="00EC5913">
      <w:pPr>
        <w:spacing w:after="60"/>
        <w:ind w:right="-45"/>
        <w:jc w:val="left"/>
        <w:rPr>
          <w:color w:val="000000"/>
          <w:sz w:val="22"/>
          <w:szCs w:val="22"/>
        </w:rPr>
      </w:pPr>
      <w:r w:rsidRPr="0053183F">
        <w:rPr>
          <w:color w:val="000000"/>
          <w:sz w:val="22"/>
          <w:szCs w:val="22"/>
        </w:rPr>
        <w:t>Financial Sector (Collection of Data) (reporting standard) determination No. 53 of 2013 - LRS 300.0 - Statement of Financial Position [F2013L00121]</w:t>
      </w:r>
    </w:p>
    <w:p w:rsidR="00EC5913" w:rsidRPr="0053183F" w:rsidRDefault="00EC5913" w:rsidP="00EC5913">
      <w:pPr>
        <w:spacing w:after="60"/>
        <w:ind w:right="-45"/>
        <w:jc w:val="left"/>
        <w:rPr>
          <w:color w:val="000000"/>
          <w:sz w:val="22"/>
          <w:szCs w:val="22"/>
        </w:rPr>
      </w:pPr>
      <w:r w:rsidRPr="0053183F">
        <w:rPr>
          <w:color w:val="000000"/>
          <w:sz w:val="22"/>
          <w:szCs w:val="22"/>
        </w:rPr>
        <w:t>Financial Sector (Collection of Data) (reporting standard) determination No. 54 of 2013 - LRS 310.0 - Income Statement [F2013L00140]</w:t>
      </w:r>
    </w:p>
    <w:p w:rsidR="00EC5913" w:rsidRPr="0053183F" w:rsidRDefault="00EC5913" w:rsidP="00EC5913">
      <w:pPr>
        <w:spacing w:after="60"/>
        <w:ind w:right="-45"/>
        <w:jc w:val="left"/>
        <w:rPr>
          <w:color w:val="000000"/>
          <w:sz w:val="22"/>
          <w:szCs w:val="22"/>
        </w:rPr>
      </w:pPr>
      <w:r w:rsidRPr="0053183F">
        <w:rPr>
          <w:color w:val="000000"/>
          <w:sz w:val="22"/>
          <w:szCs w:val="22"/>
        </w:rPr>
        <w:t>Financial Sector (Collection of Data) (reporting standard) determination No. 55 of 2013 - LRS 330.0 - Summary of Revenue and Expenses [F2013L00141]</w:t>
      </w:r>
    </w:p>
    <w:p w:rsidR="00EC5913" w:rsidRPr="0053183F" w:rsidRDefault="00EC5913" w:rsidP="00EC5913">
      <w:pPr>
        <w:spacing w:after="60"/>
        <w:ind w:right="-45"/>
        <w:jc w:val="left"/>
        <w:rPr>
          <w:color w:val="000000"/>
          <w:sz w:val="22"/>
          <w:szCs w:val="22"/>
        </w:rPr>
      </w:pPr>
      <w:r w:rsidRPr="0053183F">
        <w:rPr>
          <w:color w:val="000000"/>
          <w:sz w:val="22"/>
          <w:szCs w:val="22"/>
        </w:rPr>
        <w:t>Financial Sector (Collection of Data) (reporting standard) determination No. 56 of 2013 - LRS 340.0 - Retained Profits [F2013L00148]</w:t>
      </w:r>
    </w:p>
    <w:p w:rsidR="00EC5913" w:rsidRPr="0053183F" w:rsidRDefault="00EC5913" w:rsidP="00EC5913">
      <w:pPr>
        <w:spacing w:after="60"/>
        <w:ind w:right="-45"/>
        <w:jc w:val="left"/>
        <w:rPr>
          <w:color w:val="000000"/>
          <w:sz w:val="22"/>
          <w:szCs w:val="22"/>
        </w:rPr>
      </w:pPr>
      <w:r w:rsidRPr="0053183F">
        <w:rPr>
          <w:color w:val="000000"/>
          <w:sz w:val="22"/>
          <w:szCs w:val="22"/>
        </w:rPr>
        <w:t>Financial Sector (Collection of Data) (reporting standard) determination No. 57 of 2013 - LRS 400.0 - Statement of Policy Liabilities [F2013L00111]</w:t>
      </w:r>
    </w:p>
    <w:p w:rsidR="00EC5913" w:rsidRPr="0053183F" w:rsidRDefault="00EC5913" w:rsidP="00EC5913">
      <w:pPr>
        <w:spacing w:after="60"/>
        <w:ind w:right="-45"/>
        <w:jc w:val="left"/>
        <w:rPr>
          <w:color w:val="000000"/>
          <w:sz w:val="22"/>
          <w:szCs w:val="22"/>
        </w:rPr>
      </w:pPr>
      <w:r w:rsidRPr="0053183F">
        <w:rPr>
          <w:color w:val="000000"/>
          <w:sz w:val="22"/>
          <w:szCs w:val="22"/>
        </w:rPr>
        <w:t>Financial Sector (Collection of Data) (reporting standard) determination No. 58 of 2013 - LRS 420.0 - Assets Backing Policy Liabilities [F2013L00122]</w:t>
      </w:r>
    </w:p>
    <w:p w:rsidR="00EC5913" w:rsidRPr="0053183F" w:rsidRDefault="00EC5913" w:rsidP="00EC5913">
      <w:pPr>
        <w:spacing w:after="60"/>
        <w:ind w:right="-45"/>
        <w:jc w:val="left"/>
        <w:rPr>
          <w:color w:val="000000"/>
          <w:sz w:val="22"/>
          <w:szCs w:val="22"/>
        </w:rPr>
      </w:pPr>
      <w:r w:rsidRPr="0053183F">
        <w:rPr>
          <w:color w:val="000000"/>
          <w:sz w:val="22"/>
          <w:szCs w:val="22"/>
        </w:rPr>
        <w:t>Financial Sector (Collection of Data) (reporting standard) determination No. 59 of 2013 - LRS 430.0 - Sources of Profit [F2013L00149]</w:t>
      </w:r>
    </w:p>
    <w:p w:rsidR="00EC5913" w:rsidRPr="0053183F" w:rsidRDefault="00EC5913" w:rsidP="00EC5913">
      <w:pPr>
        <w:spacing w:after="0"/>
        <w:ind w:right="-46"/>
        <w:jc w:val="left"/>
        <w:rPr>
          <w:color w:val="000000"/>
          <w:sz w:val="22"/>
          <w:szCs w:val="22"/>
        </w:rPr>
      </w:pPr>
      <w:r w:rsidRPr="0053183F">
        <w:rPr>
          <w:color w:val="000000"/>
          <w:sz w:val="22"/>
          <w:szCs w:val="22"/>
        </w:rPr>
        <w:lastRenderedPageBreak/>
        <w:t>Financial Sector (Collection of Data) (reporting standard) determination No. 60 of 2013 - LRS 100.0 - Solvency; LRS 120.0 - Management Capital; LRS 210.0 - Derivatives, Commitments and Off-Balance Sheet Items; LRS 220.0 - Large Exposures; LRS 410.0 - Capital Measurement Statistics; LRS 901 - Transitional Arrangements 2008 [F2013L00150]</w:t>
      </w:r>
    </w:p>
    <w:p w:rsidR="00EC5913" w:rsidRPr="0053183F" w:rsidRDefault="00EC5913" w:rsidP="00EC5913">
      <w:pPr>
        <w:spacing w:after="0"/>
        <w:ind w:right="-46"/>
        <w:rPr>
          <w:sz w:val="22"/>
          <w:szCs w:val="22"/>
        </w:rPr>
      </w:pPr>
    </w:p>
    <w:p w:rsidR="00EC5913" w:rsidRPr="0053183F" w:rsidRDefault="00EC5913" w:rsidP="003F17A2">
      <w:pPr>
        <w:spacing w:after="120"/>
        <w:ind w:right="-45"/>
        <w:rPr>
          <w:sz w:val="24"/>
          <w:szCs w:val="24"/>
        </w:rPr>
      </w:pPr>
      <w:r w:rsidRPr="0053183F">
        <w:rPr>
          <w:b/>
          <w:i/>
          <w:sz w:val="24"/>
          <w:szCs w:val="24"/>
        </w:rPr>
        <w:t>Fisheries Management Act 1991</w:t>
      </w:r>
    </w:p>
    <w:p w:rsidR="00EC5913" w:rsidRPr="0053183F" w:rsidRDefault="00EC5913" w:rsidP="00EC5913">
      <w:pPr>
        <w:spacing w:after="60"/>
        <w:ind w:right="-45"/>
        <w:jc w:val="left"/>
        <w:rPr>
          <w:color w:val="000000"/>
          <w:sz w:val="22"/>
          <w:szCs w:val="22"/>
        </w:rPr>
      </w:pPr>
      <w:r w:rsidRPr="0053183F">
        <w:rPr>
          <w:color w:val="000000"/>
          <w:sz w:val="22"/>
          <w:szCs w:val="22"/>
        </w:rPr>
        <w:t>2013 Eastern Tuna and Billfish Fishery Total Allowable Commercial Catch Determination [F2013L00131]</w:t>
      </w:r>
    </w:p>
    <w:p w:rsidR="00EC5913" w:rsidRPr="0053183F" w:rsidRDefault="00EC5913" w:rsidP="00EC5913">
      <w:pPr>
        <w:spacing w:after="60"/>
        <w:ind w:right="-45"/>
        <w:jc w:val="left"/>
        <w:rPr>
          <w:sz w:val="22"/>
          <w:szCs w:val="22"/>
        </w:rPr>
      </w:pPr>
      <w:r w:rsidRPr="0053183F">
        <w:rPr>
          <w:sz w:val="22"/>
          <w:szCs w:val="22"/>
        </w:rPr>
        <w:t>Macquarie Island Toothfish Fishery Fishing Year Determination 2013 [F2013L00156]</w:t>
      </w:r>
    </w:p>
    <w:p w:rsidR="00EC5913" w:rsidRPr="0053183F" w:rsidRDefault="00EC5913" w:rsidP="00EC5913">
      <w:pPr>
        <w:spacing w:after="60"/>
        <w:ind w:right="-45"/>
        <w:jc w:val="left"/>
        <w:rPr>
          <w:color w:val="000000"/>
          <w:sz w:val="22"/>
          <w:szCs w:val="22"/>
        </w:rPr>
      </w:pPr>
      <w:r w:rsidRPr="0053183F">
        <w:rPr>
          <w:color w:val="000000"/>
          <w:sz w:val="22"/>
          <w:szCs w:val="22"/>
        </w:rPr>
        <w:t>Macquarie Island Toothfish Fishery Management Plan Amendment 2012 [F2013L00118]</w:t>
      </w:r>
    </w:p>
    <w:p w:rsidR="00EC5913" w:rsidRPr="0053183F" w:rsidRDefault="00EC5913" w:rsidP="00EC5913">
      <w:pPr>
        <w:spacing w:after="60"/>
        <w:ind w:right="-45"/>
        <w:jc w:val="left"/>
        <w:rPr>
          <w:sz w:val="22"/>
          <w:szCs w:val="22"/>
        </w:rPr>
      </w:pPr>
      <w:r w:rsidRPr="0053183F">
        <w:rPr>
          <w:sz w:val="22"/>
          <w:szCs w:val="22"/>
        </w:rPr>
        <w:t>Southern and Eastern Scalefish and Shark Fishery (Closures) Direction No. 1 2013 [F2013L00168]</w:t>
      </w:r>
    </w:p>
    <w:p w:rsidR="00EC5913" w:rsidRPr="0053183F" w:rsidRDefault="00EC5913" w:rsidP="00EC5913">
      <w:pPr>
        <w:spacing w:after="0"/>
        <w:ind w:right="-46"/>
        <w:jc w:val="left"/>
        <w:rPr>
          <w:sz w:val="22"/>
          <w:szCs w:val="22"/>
        </w:rPr>
      </w:pPr>
      <w:r w:rsidRPr="0053183F">
        <w:rPr>
          <w:sz w:val="22"/>
          <w:szCs w:val="22"/>
        </w:rPr>
        <w:t>Southern and Eastern Scalefish and Shark Fishery (Closures) Direction No. 3 2013 [F2013L00166]</w:t>
      </w:r>
    </w:p>
    <w:p w:rsidR="00EC5913" w:rsidRPr="0053183F" w:rsidRDefault="00EC5913" w:rsidP="00EC5913">
      <w:pPr>
        <w:spacing w:after="0"/>
        <w:ind w:right="-46"/>
        <w:rPr>
          <w:sz w:val="22"/>
          <w:szCs w:val="22"/>
        </w:rPr>
      </w:pPr>
    </w:p>
    <w:p w:rsidR="00EC5913" w:rsidRPr="0053183F" w:rsidRDefault="00EC5913" w:rsidP="003F17A2">
      <w:pPr>
        <w:spacing w:after="120"/>
        <w:ind w:right="-45"/>
        <w:rPr>
          <w:sz w:val="24"/>
          <w:szCs w:val="24"/>
        </w:rPr>
      </w:pPr>
      <w:r w:rsidRPr="0053183F">
        <w:rPr>
          <w:b/>
          <w:i/>
          <w:sz w:val="24"/>
          <w:szCs w:val="24"/>
        </w:rPr>
        <w:t>Higher Education Support Act 2003</w:t>
      </w:r>
    </w:p>
    <w:p w:rsidR="00EC5913" w:rsidRPr="0053183F" w:rsidRDefault="00EC5913" w:rsidP="00EC5913">
      <w:pPr>
        <w:spacing w:after="60"/>
        <w:ind w:right="-45"/>
        <w:jc w:val="left"/>
        <w:rPr>
          <w:color w:val="000000"/>
          <w:sz w:val="22"/>
          <w:szCs w:val="22"/>
        </w:rPr>
      </w:pPr>
      <w:r w:rsidRPr="0053183F">
        <w:rPr>
          <w:color w:val="000000"/>
          <w:sz w:val="22"/>
          <w:szCs w:val="22"/>
        </w:rPr>
        <w:t>Higher Education Support Act 2003 - VET Provider Approval (No. 4 of 2013) [F2013L00143]</w:t>
      </w:r>
    </w:p>
    <w:p w:rsidR="00EC5913" w:rsidRPr="0053183F" w:rsidRDefault="00EC5913" w:rsidP="00EC5913">
      <w:pPr>
        <w:spacing w:after="0"/>
        <w:ind w:right="-46"/>
        <w:jc w:val="left"/>
        <w:rPr>
          <w:color w:val="000000"/>
          <w:sz w:val="22"/>
          <w:szCs w:val="22"/>
        </w:rPr>
      </w:pPr>
      <w:r w:rsidRPr="0053183F">
        <w:rPr>
          <w:color w:val="000000"/>
          <w:sz w:val="22"/>
          <w:szCs w:val="22"/>
        </w:rPr>
        <w:t>Higher Education Support Act 2003 - VET Provider Approval (No. 5 of 2013) [F2013L00144]</w:t>
      </w:r>
    </w:p>
    <w:p w:rsidR="00EC5913" w:rsidRPr="0053183F" w:rsidRDefault="00EC5913" w:rsidP="00EC5913">
      <w:pPr>
        <w:spacing w:after="0"/>
        <w:ind w:right="-46"/>
        <w:rPr>
          <w:sz w:val="22"/>
          <w:szCs w:val="22"/>
        </w:rPr>
      </w:pPr>
    </w:p>
    <w:p w:rsidR="00EC5913" w:rsidRPr="0053183F" w:rsidRDefault="00EC5913" w:rsidP="003F17A2">
      <w:pPr>
        <w:spacing w:after="120"/>
        <w:ind w:right="-45"/>
        <w:rPr>
          <w:sz w:val="24"/>
          <w:szCs w:val="24"/>
        </w:rPr>
      </w:pPr>
      <w:r w:rsidRPr="0053183F">
        <w:rPr>
          <w:b/>
          <w:i/>
          <w:sz w:val="24"/>
          <w:szCs w:val="24"/>
        </w:rPr>
        <w:t>Medical Indemnity Act 2002</w:t>
      </w:r>
    </w:p>
    <w:p w:rsidR="00EC5913" w:rsidRPr="0053183F" w:rsidRDefault="00EC5913" w:rsidP="00EC5913">
      <w:pPr>
        <w:spacing w:after="0"/>
        <w:ind w:right="-46"/>
        <w:jc w:val="left"/>
        <w:rPr>
          <w:sz w:val="22"/>
          <w:szCs w:val="22"/>
        </w:rPr>
      </w:pPr>
      <w:r w:rsidRPr="0053183F">
        <w:rPr>
          <w:sz w:val="22"/>
          <w:szCs w:val="22"/>
        </w:rPr>
        <w:t>Medical Indemnity (Run-off Cover Claims and Administration) Amendment Protocol 2013 [F2013L00154]</w:t>
      </w:r>
    </w:p>
    <w:p w:rsidR="00EC5913" w:rsidRPr="0053183F" w:rsidRDefault="00EC5913" w:rsidP="00EC5913">
      <w:pPr>
        <w:spacing w:after="0"/>
        <w:ind w:right="-46"/>
        <w:rPr>
          <w:sz w:val="22"/>
          <w:szCs w:val="22"/>
        </w:rPr>
      </w:pPr>
    </w:p>
    <w:p w:rsidR="00EC5913" w:rsidRPr="0053183F" w:rsidRDefault="00EC5913" w:rsidP="003F17A2">
      <w:pPr>
        <w:spacing w:after="120"/>
        <w:ind w:right="-45"/>
        <w:rPr>
          <w:sz w:val="24"/>
          <w:szCs w:val="24"/>
        </w:rPr>
      </w:pPr>
      <w:r w:rsidRPr="0053183F">
        <w:rPr>
          <w:b/>
          <w:i/>
          <w:sz w:val="24"/>
          <w:szCs w:val="24"/>
        </w:rPr>
        <w:t>Private Health Insurance Act 2007</w:t>
      </w:r>
    </w:p>
    <w:p w:rsidR="00EC5913" w:rsidRPr="0053183F" w:rsidRDefault="00EC5913" w:rsidP="00EC5913">
      <w:pPr>
        <w:spacing w:after="0"/>
        <w:ind w:right="-46"/>
        <w:jc w:val="left"/>
        <w:rPr>
          <w:color w:val="000000"/>
          <w:sz w:val="24"/>
          <w:szCs w:val="24"/>
        </w:rPr>
      </w:pPr>
      <w:r w:rsidRPr="0053183F">
        <w:rPr>
          <w:color w:val="000000"/>
          <w:sz w:val="24"/>
          <w:szCs w:val="24"/>
        </w:rPr>
        <w:t>Private Health Insurance (Registration) Amendment Rules 2013 [F2013L00151]</w:t>
      </w:r>
    </w:p>
    <w:p w:rsidR="00EC5913" w:rsidRPr="0053183F" w:rsidRDefault="00EC5913" w:rsidP="00EC5913">
      <w:pPr>
        <w:spacing w:after="0"/>
        <w:ind w:right="-46"/>
        <w:rPr>
          <w:sz w:val="24"/>
          <w:szCs w:val="24"/>
        </w:rPr>
      </w:pPr>
    </w:p>
    <w:p w:rsidR="00EC5913" w:rsidRPr="0053183F" w:rsidRDefault="00EC5913" w:rsidP="003F17A2">
      <w:pPr>
        <w:spacing w:after="120"/>
        <w:ind w:right="-45"/>
        <w:rPr>
          <w:b/>
          <w:i/>
          <w:sz w:val="24"/>
          <w:szCs w:val="24"/>
        </w:rPr>
      </w:pPr>
      <w:r w:rsidRPr="0053183F">
        <w:rPr>
          <w:b/>
          <w:i/>
          <w:sz w:val="24"/>
          <w:szCs w:val="24"/>
        </w:rPr>
        <w:t>Quarantine Act 1908</w:t>
      </w:r>
    </w:p>
    <w:p w:rsidR="00EC5913" w:rsidRPr="0053183F" w:rsidRDefault="00EC5913" w:rsidP="00EC5913">
      <w:pPr>
        <w:spacing w:after="0"/>
        <w:ind w:right="-46"/>
        <w:jc w:val="left"/>
        <w:rPr>
          <w:color w:val="000000"/>
          <w:sz w:val="22"/>
          <w:szCs w:val="22"/>
        </w:rPr>
      </w:pPr>
      <w:r w:rsidRPr="0053183F">
        <w:rPr>
          <w:color w:val="000000"/>
          <w:sz w:val="22"/>
          <w:szCs w:val="22"/>
        </w:rPr>
        <w:t>Quarantine Service Fees Amendment Determination 2013 (No. 1) [F2013L00125]</w:t>
      </w:r>
    </w:p>
    <w:p w:rsidR="00EC5913" w:rsidRPr="0053183F" w:rsidRDefault="00EC5913" w:rsidP="00EC5913">
      <w:pPr>
        <w:spacing w:after="0"/>
        <w:ind w:right="-46"/>
        <w:rPr>
          <w:sz w:val="22"/>
          <w:szCs w:val="22"/>
        </w:rPr>
      </w:pPr>
    </w:p>
    <w:p w:rsidR="00EC5913" w:rsidRPr="00D56317" w:rsidRDefault="00EC5913" w:rsidP="003F17A2">
      <w:pPr>
        <w:spacing w:after="120"/>
        <w:ind w:right="-45"/>
        <w:rPr>
          <w:sz w:val="24"/>
          <w:szCs w:val="24"/>
        </w:rPr>
      </w:pPr>
      <w:r w:rsidRPr="00D56317">
        <w:rPr>
          <w:b/>
          <w:i/>
          <w:sz w:val="24"/>
          <w:szCs w:val="24"/>
        </w:rPr>
        <w:t>Radiocommunications Act 1992</w:t>
      </w:r>
    </w:p>
    <w:p w:rsidR="00EC5913" w:rsidRPr="00D56317" w:rsidRDefault="00EC5913" w:rsidP="00EC5913">
      <w:pPr>
        <w:spacing w:after="0"/>
        <w:ind w:right="-46"/>
        <w:jc w:val="left"/>
        <w:rPr>
          <w:sz w:val="22"/>
          <w:szCs w:val="22"/>
        </w:rPr>
      </w:pPr>
      <w:r w:rsidRPr="00D56317">
        <w:rPr>
          <w:sz w:val="22"/>
          <w:szCs w:val="22"/>
        </w:rPr>
        <w:t>Radiocommunications (Unacceptable Levels of Interference – 700 MHz Band) Amendment Determination 2013 (No. 1) [F2013L00159]</w:t>
      </w:r>
    </w:p>
    <w:p w:rsidR="00EC5913" w:rsidRPr="00D56317" w:rsidRDefault="00EC5913" w:rsidP="00EC5913">
      <w:pPr>
        <w:spacing w:after="0"/>
        <w:ind w:right="-46"/>
        <w:rPr>
          <w:sz w:val="22"/>
          <w:szCs w:val="22"/>
        </w:rPr>
      </w:pPr>
    </w:p>
    <w:p w:rsidR="00EC5913" w:rsidRPr="00D56317" w:rsidRDefault="00EC5913" w:rsidP="003F17A2">
      <w:pPr>
        <w:spacing w:after="120"/>
        <w:ind w:right="-45"/>
        <w:rPr>
          <w:sz w:val="24"/>
          <w:szCs w:val="24"/>
        </w:rPr>
      </w:pPr>
      <w:r w:rsidRPr="00D56317">
        <w:rPr>
          <w:b/>
          <w:i/>
          <w:sz w:val="24"/>
          <w:szCs w:val="24"/>
        </w:rPr>
        <w:t>Remuneration Tribunal Act 1973</w:t>
      </w:r>
    </w:p>
    <w:p w:rsidR="00EC5913" w:rsidRPr="00D56317" w:rsidRDefault="00EC5913" w:rsidP="00EC5913">
      <w:pPr>
        <w:spacing w:after="0"/>
        <w:ind w:right="-46"/>
        <w:jc w:val="left"/>
        <w:rPr>
          <w:color w:val="000000"/>
          <w:sz w:val="22"/>
          <w:szCs w:val="22"/>
        </w:rPr>
      </w:pPr>
      <w:r w:rsidRPr="00D56317">
        <w:rPr>
          <w:color w:val="000000"/>
          <w:sz w:val="22"/>
          <w:szCs w:val="22"/>
        </w:rPr>
        <w:t>Remuneration Tribunal Determination 2013/01 - Remuneration and Allowances for Holders of Public Office [F2013L00100]</w:t>
      </w:r>
    </w:p>
    <w:p w:rsidR="00EC5913" w:rsidRPr="00D56317" w:rsidRDefault="00EC5913" w:rsidP="00EC5913">
      <w:pPr>
        <w:spacing w:after="0"/>
        <w:ind w:right="-46"/>
        <w:rPr>
          <w:sz w:val="22"/>
          <w:szCs w:val="22"/>
        </w:rPr>
      </w:pPr>
    </w:p>
    <w:p w:rsidR="00EC5913" w:rsidRPr="00D56317" w:rsidRDefault="00EC5913" w:rsidP="003F17A2">
      <w:pPr>
        <w:spacing w:after="120"/>
        <w:ind w:right="-45"/>
        <w:rPr>
          <w:sz w:val="24"/>
          <w:szCs w:val="24"/>
        </w:rPr>
      </w:pPr>
      <w:r w:rsidRPr="00D56317">
        <w:rPr>
          <w:b/>
          <w:i/>
          <w:sz w:val="24"/>
          <w:szCs w:val="24"/>
        </w:rPr>
        <w:t>Social Security Act 1991</w:t>
      </w:r>
    </w:p>
    <w:p w:rsidR="00EC5913" w:rsidRPr="00D56317" w:rsidRDefault="00EC5913" w:rsidP="00EC5913">
      <w:pPr>
        <w:spacing w:after="0"/>
        <w:ind w:right="-46"/>
        <w:jc w:val="left"/>
        <w:rPr>
          <w:color w:val="000000"/>
          <w:sz w:val="22"/>
          <w:szCs w:val="22"/>
        </w:rPr>
      </w:pPr>
      <w:r w:rsidRPr="00D56317">
        <w:rPr>
          <w:color w:val="000000"/>
          <w:sz w:val="22"/>
          <w:szCs w:val="22"/>
        </w:rPr>
        <w:t>Social Security (South Australian 'Individualised Funding') (FaHCSIA) Determination 2013 [F2013L00116]</w:t>
      </w:r>
    </w:p>
    <w:p w:rsidR="00EC5913" w:rsidRPr="00D56317" w:rsidRDefault="00EC5913" w:rsidP="00EC5913">
      <w:pPr>
        <w:spacing w:after="0"/>
        <w:ind w:right="-46"/>
        <w:rPr>
          <w:sz w:val="22"/>
          <w:szCs w:val="22"/>
        </w:rPr>
      </w:pPr>
    </w:p>
    <w:p w:rsidR="00EC5913" w:rsidRPr="00D56317" w:rsidRDefault="00EC5913" w:rsidP="003F17A2">
      <w:pPr>
        <w:spacing w:after="120"/>
        <w:ind w:right="-45"/>
        <w:rPr>
          <w:sz w:val="24"/>
          <w:szCs w:val="24"/>
        </w:rPr>
      </w:pPr>
      <w:r w:rsidRPr="00D56317">
        <w:rPr>
          <w:b/>
          <w:i/>
          <w:sz w:val="24"/>
          <w:szCs w:val="24"/>
        </w:rPr>
        <w:t>Telecommunications Universal Service Management Agency Act 2012</w:t>
      </w:r>
    </w:p>
    <w:p w:rsidR="00EC5913" w:rsidRPr="00D56317" w:rsidRDefault="00EC5913" w:rsidP="00EC5913">
      <w:pPr>
        <w:spacing w:after="60"/>
        <w:ind w:right="-45"/>
        <w:jc w:val="left"/>
        <w:rPr>
          <w:sz w:val="22"/>
          <w:szCs w:val="22"/>
        </w:rPr>
      </w:pPr>
      <w:r w:rsidRPr="00D56317">
        <w:rPr>
          <w:sz w:val="22"/>
          <w:szCs w:val="22"/>
        </w:rPr>
        <w:t>Levy Amount Formula Modification Determination 2013 [F2013L00158]</w:t>
      </w:r>
    </w:p>
    <w:p w:rsidR="00EC5913" w:rsidRPr="00D56317" w:rsidRDefault="00EC5913" w:rsidP="00EC5913">
      <w:pPr>
        <w:spacing w:after="0"/>
        <w:ind w:right="-46"/>
        <w:jc w:val="left"/>
        <w:rPr>
          <w:sz w:val="22"/>
          <w:szCs w:val="22"/>
        </w:rPr>
      </w:pPr>
      <w:r w:rsidRPr="00D56317">
        <w:rPr>
          <w:sz w:val="22"/>
          <w:szCs w:val="22"/>
        </w:rPr>
        <w:t>Telecommunications (Participating Persons) Determination 2013 [F2013L00155]</w:t>
      </w:r>
    </w:p>
    <w:p w:rsidR="00EC5913" w:rsidRPr="00D56317" w:rsidRDefault="00EC5913" w:rsidP="00EC5913">
      <w:pPr>
        <w:spacing w:after="0"/>
        <w:ind w:right="-46"/>
        <w:rPr>
          <w:sz w:val="22"/>
          <w:szCs w:val="22"/>
        </w:rPr>
      </w:pPr>
    </w:p>
    <w:p w:rsidR="00EC5913" w:rsidRPr="00D56317" w:rsidRDefault="00EC5913" w:rsidP="003F17A2">
      <w:pPr>
        <w:spacing w:after="120"/>
        <w:ind w:right="-45"/>
        <w:rPr>
          <w:sz w:val="24"/>
          <w:szCs w:val="24"/>
        </w:rPr>
      </w:pPr>
      <w:r w:rsidRPr="00D56317">
        <w:rPr>
          <w:b/>
          <w:i/>
          <w:sz w:val="24"/>
          <w:szCs w:val="24"/>
        </w:rPr>
        <w:t>Therapeutic Goods Act 1989</w:t>
      </w:r>
    </w:p>
    <w:p w:rsidR="00EC5913" w:rsidRPr="00D56317" w:rsidRDefault="00EC5913" w:rsidP="00EC5913">
      <w:pPr>
        <w:spacing w:after="0"/>
        <w:ind w:right="-46"/>
        <w:jc w:val="left"/>
        <w:rPr>
          <w:color w:val="000000"/>
          <w:sz w:val="22"/>
          <w:szCs w:val="22"/>
        </w:rPr>
      </w:pPr>
      <w:r w:rsidRPr="00D56317">
        <w:rPr>
          <w:color w:val="000000"/>
          <w:sz w:val="22"/>
          <w:szCs w:val="22"/>
        </w:rPr>
        <w:t>Therapeutic Goods Information (Stakeholder Consultation on the System for Australian Recall Actions) Specification 2013 [F2013L00117]</w:t>
      </w:r>
    </w:p>
    <w:p w:rsidR="00EC5913" w:rsidRPr="00C45C72" w:rsidRDefault="00EC5913" w:rsidP="00EC5913">
      <w:pPr>
        <w:pStyle w:val="Heading3"/>
        <w:tabs>
          <w:tab w:val="left" w:pos="284"/>
        </w:tabs>
        <w:spacing w:before="360" w:after="360"/>
        <w:jc w:val="center"/>
        <w:rPr>
          <w:u w:val="single"/>
        </w:rPr>
      </w:pPr>
      <w:r w:rsidRPr="00C45C72">
        <w:rPr>
          <w:u w:val="single"/>
        </w:rPr>
        <w:lastRenderedPageBreak/>
        <w:t xml:space="preserve">Instruments received week ending </w:t>
      </w:r>
      <w:r>
        <w:rPr>
          <w:u w:val="single"/>
        </w:rPr>
        <w:t>15 February 2013</w:t>
      </w:r>
    </w:p>
    <w:p w:rsidR="00EC5913" w:rsidRPr="00D56317" w:rsidRDefault="00EC5913" w:rsidP="003F17A2">
      <w:pPr>
        <w:spacing w:after="120"/>
        <w:ind w:right="-45"/>
        <w:rPr>
          <w:sz w:val="24"/>
          <w:szCs w:val="24"/>
        </w:rPr>
      </w:pPr>
      <w:r w:rsidRPr="00D56317">
        <w:rPr>
          <w:b/>
          <w:i/>
          <w:sz w:val="24"/>
          <w:szCs w:val="24"/>
        </w:rPr>
        <w:t>Civil Aviation Act 1988</w:t>
      </w:r>
    </w:p>
    <w:p w:rsidR="00EC5913" w:rsidRPr="00D56317" w:rsidRDefault="00EC5913" w:rsidP="00EC5913">
      <w:pPr>
        <w:spacing w:after="0"/>
        <w:ind w:right="-46"/>
        <w:jc w:val="left"/>
        <w:rPr>
          <w:sz w:val="22"/>
          <w:szCs w:val="22"/>
        </w:rPr>
      </w:pPr>
      <w:r w:rsidRPr="00D56317">
        <w:rPr>
          <w:sz w:val="22"/>
          <w:szCs w:val="22"/>
        </w:rPr>
        <w:t>AD/LYC/105 Amdt 2 – Oil Filter Converter Plate Gasket [F2013L00175]</w:t>
      </w:r>
    </w:p>
    <w:p w:rsidR="00EC5913" w:rsidRPr="00D56317" w:rsidRDefault="00EC5913" w:rsidP="00EC5913">
      <w:pPr>
        <w:spacing w:after="0"/>
        <w:ind w:right="-46"/>
        <w:rPr>
          <w:sz w:val="22"/>
          <w:szCs w:val="22"/>
        </w:rPr>
      </w:pPr>
    </w:p>
    <w:p w:rsidR="00EC5913" w:rsidRPr="00D56317" w:rsidRDefault="00EC5913" w:rsidP="003F17A2">
      <w:pPr>
        <w:spacing w:after="120"/>
        <w:ind w:right="-45"/>
        <w:rPr>
          <w:sz w:val="24"/>
          <w:szCs w:val="24"/>
        </w:rPr>
      </w:pPr>
      <w:r w:rsidRPr="00D56317">
        <w:rPr>
          <w:b/>
          <w:i/>
          <w:sz w:val="24"/>
          <w:szCs w:val="24"/>
        </w:rPr>
        <w:t>Defence Act 1903</w:t>
      </w:r>
    </w:p>
    <w:p w:rsidR="00EC5913" w:rsidRPr="00D56317" w:rsidRDefault="00EC5913" w:rsidP="00EC5913">
      <w:pPr>
        <w:spacing w:after="60"/>
        <w:ind w:right="-45"/>
        <w:jc w:val="left"/>
        <w:rPr>
          <w:sz w:val="22"/>
          <w:szCs w:val="22"/>
        </w:rPr>
      </w:pPr>
      <w:r w:rsidRPr="00D56317">
        <w:rPr>
          <w:sz w:val="22"/>
          <w:szCs w:val="22"/>
        </w:rPr>
        <w:t>Defence Determination 2013/3, Review of housing contributions and allowances – amendment</w:t>
      </w:r>
    </w:p>
    <w:p w:rsidR="00EC5913" w:rsidRPr="00D56317" w:rsidRDefault="00EC5913" w:rsidP="00EC5913">
      <w:pPr>
        <w:spacing w:after="60"/>
        <w:ind w:right="-45"/>
        <w:jc w:val="left"/>
        <w:rPr>
          <w:sz w:val="22"/>
          <w:szCs w:val="22"/>
        </w:rPr>
      </w:pPr>
      <w:r w:rsidRPr="00D56317">
        <w:rPr>
          <w:sz w:val="22"/>
          <w:szCs w:val="22"/>
        </w:rPr>
        <w:t>Defence Determination 2013/4, Living-in accommodation – amendment</w:t>
      </w:r>
    </w:p>
    <w:p w:rsidR="00EC5913" w:rsidRPr="00D56317" w:rsidRDefault="00EC5913" w:rsidP="00EC5913">
      <w:pPr>
        <w:spacing w:after="60"/>
        <w:ind w:right="-45"/>
        <w:jc w:val="left"/>
        <w:rPr>
          <w:sz w:val="22"/>
          <w:szCs w:val="22"/>
        </w:rPr>
      </w:pPr>
      <w:r w:rsidRPr="00D56317">
        <w:rPr>
          <w:sz w:val="22"/>
          <w:szCs w:val="22"/>
        </w:rPr>
        <w:t>Defence Determination 2013/5, Rent ceilings – amendment</w:t>
      </w:r>
    </w:p>
    <w:p w:rsidR="00EC5913" w:rsidRPr="00D56317" w:rsidRDefault="00EC5913" w:rsidP="00EC5913">
      <w:pPr>
        <w:spacing w:after="0"/>
        <w:ind w:right="-46"/>
        <w:jc w:val="left"/>
        <w:rPr>
          <w:sz w:val="22"/>
          <w:szCs w:val="22"/>
        </w:rPr>
      </w:pPr>
      <w:r w:rsidRPr="00D56317">
        <w:rPr>
          <w:sz w:val="22"/>
          <w:szCs w:val="22"/>
        </w:rPr>
        <w:t>Defence Determination 2013/6, Post indexes – amendment</w:t>
      </w:r>
    </w:p>
    <w:p w:rsidR="00EC5913" w:rsidRPr="00D56317" w:rsidRDefault="00EC5913" w:rsidP="00EC5913">
      <w:pPr>
        <w:spacing w:after="0"/>
        <w:ind w:right="-46"/>
        <w:rPr>
          <w:sz w:val="22"/>
          <w:szCs w:val="22"/>
        </w:rPr>
      </w:pPr>
    </w:p>
    <w:p w:rsidR="00EC5913" w:rsidRPr="00D56317" w:rsidRDefault="00EC5913" w:rsidP="003F17A2">
      <w:pPr>
        <w:spacing w:after="120"/>
        <w:ind w:right="-45"/>
        <w:rPr>
          <w:sz w:val="24"/>
          <w:szCs w:val="24"/>
        </w:rPr>
      </w:pPr>
      <w:r w:rsidRPr="00D56317">
        <w:rPr>
          <w:b/>
          <w:i/>
          <w:sz w:val="24"/>
          <w:szCs w:val="24"/>
        </w:rPr>
        <w:t>Environment Protection and Biodiversity Conservation Act 1999</w:t>
      </w:r>
    </w:p>
    <w:p w:rsidR="00EC5913" w:rsidRPr="00D56317" w:rsidRDefault="00EC5913" w:rsidP="00EC5913">
      <w:pPr>
        <w:spacing w:after="0"/>
        <w:ind w:right="-46"/>
        <w:jc w:val="left"/>
        <w:rPr>
          <w:sz w:val="22"/>
          <w:szCs w:val="22"/>
        </w:rPr>
      </w:pPr>
      <w:r w:rsidRPr="00D56317">
        <w:rPr>
          <w:sz w:val="22"/>
          <w:szCs w:val="22"/>
        </w:rPr>
        <w:t>Amendment of List of Exempt Native Specimens – Western Australian Exmouth Gulf Prawn Managed Fishery (04/02/2013) [F2013L00171]</w:t>
      </w:r>
    </w:p>
    <w:p w:rsidR="00EC5913" w:rsidRPr="00D56317" w:rsidRDefault="00EC5913" w:rsidP="00EC5913">
      <w:pPr>
        <w:spacing w:after="0"/>
        <w:ind w:right="-46"/>
        <w:rPr>
          <w:sz w:val="22"/>
          <w:szCs w:val="22"/>
        </w:rPr>
      </w:pPr>
    </w:p>
    <w:p w:rsidR="00EC5913" w:rsidRPr="00D56317" w:rsidRDefault="00EC5913" w:rsidP="003F17A2">
      <w:pPr>
        <w:spacing w:after="120"/>
        <w:ind w:right="-45"/>
        <w:rPr>
          <w:sz w:val="24"/>
          <w:szCs w:val="24"/>
        </w:rPr>
      </w:pPr>
      <w:r w:rsidRPr="00D56317">
        <w:rPr>
          <w:b/>
          <w:i/>
          <w:sz w:val="24"/>
          <w:szCs w:val="24"/>
        </w:rPr>
        <w:t>Fisheries Management Act 1991</w:t>
      </w:r>
    </w:p>
    <w:p w:rsidR="00EC5913" w:rsidRPr="00D56317" w:rsidRDefault="00EC5913" w:rsidP="00EC5913">
      <w:pPr>
        <w:spacing w:after="60"/>
        <w:ind w:right="-45"/>
        <w:jc w:val="left"/>
        <w:rPr>
          <w:sz w:val="22"/>
          <w:szCs w:val="22"/>
        </w:rPr>
      </w:pPr>
      <w:r w:rsidRPr="00D56317">
        <w:rPr>
          <w:sz w:val="22"/>
          <w:szCs w:val="22"/>
        </w:rPr>
        <w:t>Southern and Eastern Scalefish and Shark Fishery (Closures) Direction No. 2 2013 [F2013L00169]</w:t>
      </w:r>
    </w:p>
    <w:p w:rsidR="00EC5913" w:rsidRPr="00D56317" w:rsidRDefault="00EC5913" w:rsidP="00EC5913">
      <w:pPr>
        <w:spacing w:after="0"/>
        <w:ind w:right="-46"/>
        <w:jc w:val="left"/>
        <w:rPr>
          <w:sz w:val="22"/>
          <w:szCs w:val="22"/>
        </w:rPr>
      </w:pPr>
      <w:r w:rsidRPr="00D56317">
        <w:rPr>
          <w:sz w:val="22"/>
          <w:szCs w:val="22"/>
        </w:rPr>
        <w:t>Southern and Eastern Scalefish and Shark Fishery (Closures) Direction No. 4 2013 [F2013L00170]</w:t>
      </w:r>
    </w:p>
    <w:p w:rsidR="00EC5913" w:rsidRPr="00D56317" w:rsidRDefault="00EC5913" w:rsidP="00EC5913">
      <w:pPr>
        <w:spacing w:after="0"/>
        <w:ind w:right="-46"/>
        <w:rPr>
          <w:sz w:val="22"/>
          <w:szCs w:val="22"/>
        </w:rPr>
      </w:pPr>
    </w:p>
    <w:p w:rsidR="00EC5913" w:rsidRPr="00D56317" w:rsidRDefault="00EC5913" w:rsidP="003F17A2">
      <w:pPr>
        <w:spacing w:after="120"/>
        <w:ind w:right="-45"/>
        <w:rPr>
          <w:sz w:val="24"/>
          <w:szCs w:val="24"/>
        </w:rPr>
      </w:pPr>
      <w:r w:rsidRPr="00D56317">
        <w:rPr>
          <w:b/>
          <w:i/>
          <w:sz w:val="24"/>
          <w:szCs w:val="24"/>
        </w:rPr>
        <w:t>Military Rehabilitation and Compensation Act 2004</w:t>
      </w:r>
    </w:p>
    <w:p w:rsidR="00EC5913" w:rsidRPr="00D56317" w:rsidRDefault="00EC5913" w:rsidP="00EC5913">
      <w:pPr>
        <w:spacing w:after="0"/>
        <w:ind w:right="-46"/>
        <w:jc w:val="left"/>
        <w:rPr>
          <w:sz w:val="22"/>
          <w:szCs w:val="22"/>
        </w:rPr>
      </w:pPr>
      <w:proofErr w:type="gramStart"/>
      <w:r w:rsidRPr="00D56317">
        <w:rPr>
          <w:sz w:val="22"/>
          <w:szCs w:val="22"/>
        </w:rPr>
        <w:t>Military Rehabilitation and Compensation Act Education and Training Scheme (Income Support Bonus) Determination 2013 (No.</w:t>
      </w:r>
      <w:proofErr w:type="gramEnd"/>
      <w:r w:rsidRPr="00D56317">
        <w:rPr>
          <w:sz w:val="22"/>
          <w:szCs w:val="22"/>
        </w:rPr>
        <w:t xml:space="preserve"> MRCC 10) [F2013L00176]</w:t>
      </w:r>
    </w:p>
    <w:p w:rsidR="00EC5913" w:rsidRPr="00D56317" w:rsidRDefault="00EC5913" w:rsidP="00EC5913">
      <w:pPr>
        <w:spacing w:after="0"/>
        <w:ind w:right="-46"/>
        <w:rPr>
          <w:sz w:val="22"/>
          <w:szCs w:val="22"/>
        </w:rPr>
      </w:pPr>
    </w:p>
    <w:p w:rsidR="00EC5913" w:rsidRPr="00D56317" w:rsidRDefault="00EC5913" w:rsidP="003F17A2">
      <w:pPr>
        <w:spacing w:after="120"/>
        <w:ind w:right="-45"/>
        <w:rPr>
          <w:b/>
          <w:i/>
          <w:sz w:val="24"/>
          <w:szCs w:val="24"/>
        </w:rPr>
      </w:pPr>
      <w:r w:rsidRPr="00D56317">
        <w:rPr>
          <w:b/>
          <w:i/>
          <w:sz w:val="24"/>
          <w:szCs w:val="24"/>
        </w:rPr>
        <w:t xml:space="preserve">Social and Community Services Pay Equity Special Account Act 2012 </w:t>
      </w:r>
    </w:p>
    <w:p w:rsidR="00EC5913" w:rsidRPr="00D56317" w:rsidRDefault="00EC5913" w:rsidP="00EC5913">
      <w:pPr>
        <w:spacing w:after="0"/>
        <w:ind w:right="-46"/>
        <w:rPr>
          <w:sz w:val="22"/>
          <w:szCs w:val="22"/>
        </w:rPr>
      </w:pPr>
      <w:r w:rsidRPr="00D56317">
        <w:rPr>
          <w:sz w:val="22"/>
          <w:szCs w:val="22"/>
        </w:rPr>
        <w:t>Social and Community Services Pay Equity Special Account (Additional Program) Specification 2013 [F2013L00179]</w:t>
      </w:r>
    </w:p>
    <w:p w:rsidR="00EC5913" w:rsidRPr="00D56317" w:rsidRDefault="00EC5913" w:rsidP="00EC5913">
      <w:pPr>
        <w:spacing w:after="0"/>
        <w:ind w:right="-46"/>
        <w:rPr>
          <w:sz w:val="22"/>
          <w:szCs w:val="22"/>
        </w:rPr>
      </w:pPr>
    </w:p>
    <w:p w:rsidR="00EC5913" w:rsidRPr="00D56317" w:rsidRDefault="00EC5913" w:rsidP="003F17A2">
      <w:pPr>
        <w:spacing w:after="120"/>
        <w:ind w:right="-45"/>
        <w:rPr>
          <w:sz w:val="24"/>
          <w:szCs w:val="24"/>
        </w:rPr>
      </w:pPr>
      <w:r w:rsidRPr="00D56317">
        <w:rPr>
          <w:b/>
          <w:i/>
          <w:sz w:val="24"/>
          <w:szCs w:val="24"/>
        </w:rPr>
        <w:t>Veterans' Entitlements Act 1986</w:t>
      </w:r>
    </w:p>
    <w:p w:rsidR="00EC5913" w:rsidRPr="00D56317" w:rsidRDefault="00EC5913" w:rsidP="00EC5913">
      <w:pPr>
        <w:spacing w:after="0"/>
        <w:ind w:right="-46"/>
        <w:jc w:val="left"/>
        <w:rPr>
          <w:sz w:val="22"/>
          <w:szCs w:val="22"/>
        </w:rPr>
      </w:pPr>
      <w:proofErr w:type="gramStart"/>
      <w:r w:rsidRPr="00D56317">
        <w:rPr>
          <w:sz w:val="22"/>
          <w:szCs w:val="22"/>
        </w:rPr>
        <w:t>Veterans' Entitlements (Veterans' Children Education Scheme – Income Support Bonus) Instrument 2013 (No.</w:t>
      </w:r>
      <w:proofErr w:type="gramEnd"/>
      <w:r w:rsidRPr="00D56317">
        <w:rPr>
          <w:sz w:val="22"/>
          <w:szCs w:val="22"/>
        </w:rPr>
        <w:t xml:space="preserve"> R9/2013) [F2013L00178]</w:t>
      </w:r>
    </w:p>
    <w:p w:rsidR="00EC5913" w:rsidRPr="00D56317" w:rsidRDefault="00EC5913" w:rsidP="00EC5913">
      <w:pPr>
        <w:ind w:right="-330"/>
        <w:rPr>
          <w:sz w:val="22"/>
          <w:szCs w:val="22"/>
        </w:rPr>
      </w:pPr>
    </w:p>
    <w:p w:rsidR="00EC5913" w:rsidRPr="00FD3243" w:rsidRDefault="00EC5913" w:rsidP="00EC5913">
      <w:pPr>
        <w:pStyle w:val="Heading3"/>
        <w:jc w:val="center"/>
      </w:pPr>
      <w:r w:rsidRPr="00FD3243">
        <w:t xml:space="preserve">Total number of instruments scrutinised: </w:t>
      </w:r>
      <w:r>
        <w:t>254</w:t>
      </w:r>
    </w:p>
    <w:p w:rsidR="003F17A2" w:rsidRDefault="003F17A2" w:rsidP="008702B8">
      <w:pPr>
        <w:pStyle w:val="Bullet1"/>
        <w:numPr>
          <w:ilvl w:val="0"/>
          <w:numId w:val="0"/>
        </w:numPr>
        <w:spacing w:after="0"/>
        <w:ind w:left="851" w:hanging="851"/>
        <w:sectPr w:rsidR="003F17A2" w:rsidSect="00BD6245">
          <w:headerReference w:type="even" r:id="rId24"/>
          <w:headerReference w:type="default" r:id="rId25"/>
          <w:footerReference w:type="even" r:id="rId26"/>
          <w:footerReference w:type="default" r:id="rId27"/>
          <w:headerReference w:type="first" r:id="rId28"/>
          <w:pgSz w:w="11906" w:h="16838" w:code="9"/>
          <w:pgMar w:top="1440" w:right="1440" w:bottom="1202" w:left="1440" w:header="1134" w:footer="720" w:gutter="0"/>
          <w:pgNumType w:start="119"/>
          <w:cols w:space="720"/>
          <w:titlePg/>
        </w:sectPr>
      </w:pPr>
    </w:p>
    <w:p w:rsidR="003F17A2" w:rsidRDefault="003F17A2" w:rsidP="003F17A2">
      <w:pPr>
        <w:pStyle w:val="Heading1"/>
      </w:pPr>
      <w:r>
        <w:lastRenderedPageBreak/>
        <w:t>Appendix 2</w:t>
      </w:r>
    </w:p>
    <w:p w:rsidR="003F17A2" w:rsidRPr="00ED30DD" w:rsidRDefault="003F17A2" w:rsidP="003F17A2">
      <w:pPr>
        <w:pStyle w:val="Heading2"/>
      </w:pPr>
      <w:r>
        <w:t>Guideline on explanatory statements: consultation</w:t>
      </w:r>
    </w:p>
    <w:p w:rsidR="003F17A2" w:rsidRDefault="003F17A2" w:rsidP="008702B8">
      <w:pPr>
        <w:pStyle w:val="Bullet1"/>
        <w:numPr>
          <w:ilvl w:val="0"/>
          <w:numId w:val="0"/>
        </w:numPr>
        <w:spacing w:after="0"/>
        <w:ind w:left="851" w:hanging="851"/>
        <w:sectPr w:rsidR="003F17A2" w:rsidSect="00BD6245">
          <w:headerReference w:type="even" r:id="rId29"/>
          <w:headerReference w:type="default" r:id="rId30"/>
          <w:footerReference w:type="even" r:id="rId31"/>
          <w:footerReference w:type="default" r:id="rId32"/>
          <w:headerReference w:type="first" r:id="rId33"/>
          <w:footerReference w:type="first" r:id="rId34"/>
          <w:pgSz w:w="11906" w:h="16838" w:code="9"/>
          <w:pgMar w:top="1440" w:right="1440" w:bottom="1202" w:left="1440" w:header="1134" w:footer="720" w:gutter="0"/>
          <w:pgNumType w:start="133"/>
          <w:cols w:space="720"/>
          <w:titlePg/>
        </w:sectPr>
      </w:pPr>
      <w:r>
        <w:br w:type="page"/>
      </w:r>
    </w:p>
    <w:p w:rsidR="003F17A2" w:rsidRPr="00390F32" w:rsidRDefault="000A2EBF" w:rsidP="003F17A2">
      <w:pPr>
        <w:jc w:val="center"/>
        <w:rPr>
          <w:rFonts w:ascii="Calibri" w:hAnsi="Calibri"/>
        </w:rPr>
      </w:pPr>
      <w:r>
        <w:rPr>
          <w:rFonts w:ascii="Calibri" w:hAnsi="Calibri"/>
          <w:noProof/>
          <w:lang w:eastAsia="en-AU"/>
        </w:rPr>
        <w:lastRenderedPageBreak/>
        <w:drawing>
          <wp:inline distT="0" distB="0" distL="0" distR="0">
            <wp:extent cx="771525" cy="5905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771525" cy="590550"/>
                    </a:xfrm>
                    <a:prstGeom prst="rect">
                      <a:avLst/>
                    </a:prstGeom>
                    <a:noFill/>
                    <a:ln>
                      <a:noFill/>
                    </a:ln>
                  </pic:spPr>
                </pic:pic>
              </a:graphicData>
            </a:graphic>
          </wp:inline>
        </w:drawing>
      </w:r>
    </w:p>
    <w:p w:rsidR="003F17A2" w:rsidRPr="00390F32" w:rsidRDefault="003F17A2" w:rsidP="00BD6245">
      <w:pPr>
        <w:spacing w:after="0"/>
        <w:jc w:val="center"/>
        <w:rPr>
          <w:rFonts w:ascii="Calibri" w:hAnsi="Calibri"/>
          <w:sz w:val="18"/>
        </w:rPr>
      </w:pPr>
      <w:r w:rsidRPr="00390F32">
        <w:rPr>
          <w:rFonts w:ascii="Calibri" w:hAnsi="Calibri"/>
          <w:sz w:val="18"/>
        </w:rPr>
        <w:t>AUSTRALIAN SENATE</w:t>
      </w:r>
    </w:p>
    <w:p w:rsidR="003F17A2" w:rsidRPr="00390F32" w:rsidRDefault="003F17A2" w:rsidP="00BD6245">
      <w:pPr>
        <w:spacing w:after="0"/>
        <w:jc w:val="center"/>
        <w:rPr>
          <w:rFonts w:ascii="Calibri" w:hAnsi="Calibri"/>
          <w:sz w:val="20"/>
        </w:rPr>
      </w:pPr>
    </w:p>
    <w:p w:rsidR="003F17A2" w:rsidRPr="00390F32" w:rsidRDefault="003F17A2" w:rsidP="003F17A2">
      <w:pPr>
        <w:spacing w:after="180"/>
        <w:jc w:val="center"/>
        <w:rPr>
          <w:rFonts w:ascii="Calibri" w:hAnsi="Calibri"/>
          <w:b/>
          <w:sz w:val="28"/>
          <w:szCs w:val="28"/>
        </w:rPr>
      </w:pPr>
      <w:r w:rsidRPr="00390F32">
        <w:rPr>
          <w:rFonts w:ascii="Calibri" w:hAnsi="Calibri"/>
          <w:b/>
          <w:sz w:val="28"/>
          <w:szCs w:val="28"/>
        </w:rPr>
        <w:t>STANDING COMMITTEE ON REGULATIONS AND ORDINANCES</w:t>
      </w:r>
    </w:p>
    <w:p w:rsidR="003F17A2" w:rsidRPr="00390F32" w:rsidRDefault="003F17A2" w:rsidP="003F17A2">
      <w:pPr>
        <w:jc w:val="center"/>
        <w:rPr>
          <w:rFonts w:ascii="Calibri" w:hAnsi="Calibri"/>
          <w:b/>
          <w:sz w:val="28"/>
          <w:szCs w:val="28"/>
        </w:rPr>
      </w:pPr>
      <w:r w:rsidRPr="00390F32">
        <w:rPr>
          <w:rFonts w:ascii="Calibri" w:hAnsi="Calibri"/>
          <w:b/>
          <w:sz w:val="28"/>
          <w:szCs w:val="28"/>
        </w:rPr>
        <w:t>Guideline for preparation of explanatory statements: consultation</w:t>
      </w:r>
    </w:p>
    <w:p w:rsidR="003F17A2" w:rsidRPr="00390F32" w:rsidRDefault="003F17A2" w:rsidP="00BD6245">
      <w:pPr>
        <w:spacing w:after="0"/>
        <w:rPr>
          <w:rFonts w:ascii="Calibri" w:hAnsi="Calibri"/>
          <w:szCs w:val="24"/>
        </w:rPr>
      </w:pPr>
    </w:p>
    <w:p w:rsidR="003F17A2" w:rsidRPr="00390F32" w:rsidRDefault="003F17A2" w:rsidP="00BD6245">
      <w:pPr>
        <w:spacing w:after="120"/>
        <w:rPr>
          <w:rFonts w:ascii="Calibri" w:hAnsi="Calibri"/>
          <w:b/>
          <w:i/>
          <w:szCs w:val="24"/>
        </w:rPr>
      </w:pPr>
      <w:r w:rsidRPr="00390F32">
        <w:rPr>
          <w:rFonts w:ascii="Calibri" w:hAnsi="Calibri"/>
          <w:b/>
          <w:i/>
          <w:szCs w:val="24"/>
        </w:rPr>
        <w:t>Role of the committee</w:t>
      </w:r>
    </w:p>
    <w:p w:rsidR="003F17A2" w:rsidRPr="00390F32" w:rsidRDefault="003F17A2" w:rsidP="00BD6245">
      <w:pPr>
        <w:spacing w:after="0"/>
        <w:rPr>
          <w:rFonts w:ascii="Calibri" w:hAnsi="Calibri"/>
          <w:szCs w:val="24"/>
        </w:rPr>
      </w:pPr>
      <w:r w:rsidRPr="00390F32">
        <w:rPr>
          <w:rFonts w:ascii="Calibri" w:hAnsi="Calibri"/>
          <w:szCs w:val="24"/>
        </w:rPr>
        <w:t xml:space="preserve">The Standing Committee on Regulations and Ordinances (the committee) undertakes scrutiny of legislative instruments to ensure compliance with </w:t>
      </w:r>
      <w:hyperlink r:id="rId36" w:history="1">
        <w:r w:rsidRPr="00390F32">
          <w:rPr>
            <w:rStyle w:val="Hyperlink"/>
            <w:rFonts w:ascii="Calibri" w:hAnsi="Calibri"/>
            <w:szCs w:val="24"/>
          </w:rPr>
          <w:t>non-pa</w:t>
        </w:r>
        <w:r w:rsidRPr="00390F32">
          <w:rPr>
            <w:rStyle w:val="Hyperlink"/>
            <w:rFonts w:ascii="Calibri" w:hAnsi="Calibri"/>
            <w:szCs w:val="24"/>
          </w:rPr>
          <w:t>r</w:t>
        </w:r>
        <w:r w:rsidRPr="00390F32">
          <w:rPr>
            <w:rStyle w:val="Hyperlink"/>
            <w:rFonts w:ascii="Calibri" w:hAnsi="Calibri"/>
            <w:szCs w:val="24"/>
          </w:rPr>
          <w:t>tisan principles</w:t>
        </w:r>
      </w:hyperlink>
      <w:r w:rsidRPr="00390F32">
        <w:rPr>
          <w:rFonts w:ascii="Calibri" w:hAnsi="Calibri"/>
          <w:szCs w:val="24"/>
        </w:rPr>
        <w:t xml:space="preserve"> of personal rights and parliamentary propriety.</w:t>
      </w:r>
    </w:p>
    <w:p w:rsidR="003F17A2" w:rsidRPr="00390F32" w:rsidRDefault="003F17A2" w:rsidP="00BD6245">
      <w:pPr>
        <w:spacing w:after="0"/>
        <w:rPr>
          <w:rFonts w:ascii="Calibri" w:hAnsi="Calibri"/>
          <w:szCs w:val="24"/>
        </w:rPr>
      </w:pPr>
    </w:p>
    <w:p w:rsidR="003F17A2" w:rsidRPr="00390F32" w:rsidRDefault="003F17A2" w:rsidP="00BD6245">
      <w:pPr>
        <w:spacing w:before="120" w:after="0"/>
        <w:rPr>
          <w:rFonts w:ascii="Calibri" w:hAnsi="Calibri"/>
          <w:b/>
          <w:i/>
          <w:szCs w:val="24"/>
        </w:rPr>
      </w:pPr>
      <w:r w:rsidRPr="00390F32">
        <w:rPr>
          <w:rFonts w:ascii="Calibri" w:hAnsi="Calibri"/>
          <w:b/>
          <w:i/>
          <w:szCs w:val="24"/>
        </w:rPr>
        <w:t>Purpose of guideline</w:t>
      </w:r>
    </w:p>
    <w:p w:rsidR="003F17A2" w:rsidRPr="00390F32" w:rsidRDefault="003F17A2" w:rsidP="00BD6245">
      <w:pPr>
        <w:spacing w:after="0"/>
        <w:rPr>
          <w:rFonts w:ascii="Calibri" w:hAnsi="Calibri"/>
          <w:szCs w:val="24"/>
        </w:rPr>
      </w:pPr>
      <w:r w:rsidRPr="00390F32">
        <w:rPr>
          <w:rFonts w:ascii="Calibri" w:hAnsi="Calibri"/>
          <w:szCs w:val="24"/>
        </w:rPr>
        <w:t xml:space="preserve">This guideline provides information on preparing an explanatory statement (ES) to accompany a legislative instrument, specifically in relation to the requirement that such statements </w:t>
      </w:r>
      <w:r w:rsidRPr="00390F32">
        <w:rPr>
          <w:rFonts w:ascii="Calibri" w:hAnsi="Calibri"/>
          <w:szCs w:val="24"/>
          <w:u w:val="single"/>
        </w:rPr>
        <w:t>must describe the nature of any consultation undertaken or explain why no such consultation was undertaken</w:t>
      </w:r>
      <w:r w:rsidRPr="00390F32">
        <w:rPr>
          <w:rFonts w:ascii="Calibri" w:hAnsi="Calibri"/>
          <w:szCs w:val="24"/>
        </w:rPr>
        <w:t>.</w:t>
      </w:r>
    </w:p>
    <w:p w:rsidR="003F17A2" w:rsidRPr="00390F32" w:rsidRDefault="003F17A2" w:rsidP="00BD6245">
      <w:pPr>
        <w:spacing w:after="0"/>
        <w:rPr>
          <w:rFonts w:ascii="Calibri" w:hAnsi="Calibri"/>
          <w:szCs w:val="24"/>
        </w:rPr>
      </w:pPr>
    </w:p>
    <w:p w:rsidR="003F17A2" w:rsidRPr="00390F32" w:rsidRDefault="003F17A2" w:rsidP="00BD6245">
      <w:pPr>
        <w:spacing w:after="0"/>
        <w:rPr>
          <w:rFonts w:ascii="Calibri" w:hAnsi="Calibri"/>
          <w:szCs w:val="24"/>
        </w:rPr>
      </w:pPr>
      <w:r w:rsidRPr="00390F32">
        <w:rPr>
          <w:rFonts w:ascii="Calibri" w:hAnsi="Calibri"/>
          <w:szCs w:val="24"/>
        </w:rPr>
        <w:t xml:space="preserve">The committee scrutinises instruments to ensure, inter alia, that they meet the technical requirements of the </w:t>
      </w:r>
      <w:hyperlink r:id="rId37" w:history="1">
        <w:r w:rsidRPr="00390F32">
          <w:rPr>
            <w:rStyle w:val="Hyperlink"/>
            <w:rFonts w:ascii="Calibri" w:hAnsi="Calibri"/>
            <w:i/>
            <w:szCs w:val="24"/>
          </w:rPr>
          <w:t>Legislative Inst</w:t>
        </w:r>
        <w:r w:rsidRPr="00390F32">
          <w:rPr>
            <w:rStyle w:val="Hyperlink"/>
            <w:rFonts w:ascii="Calibri" w:hAnsi="Calibri"/>
            <w:i/>
            <w:szCs w:val="24"/>
          </w:rPr>
          <w:t>r</w:t>
        </w:r>
        <w:r w:rsidRPr="00390F32">
          <w:rPr>
            <w:rStyle w:val="Hyperlink"/>
            <w:rFonts w:ascii="Calibri" w:hAnsi="Calibri"/>
            <w:i/>
            <w:szCs w:val="24"/>
          </w:rPr>
          <w:t>u</w:t>
        </w:r>
        <w:r w:rsidRPr="00390F32">
          <w:rPr>
            <w:rStyle w:val="Hyperlink"/>
            <w:rFonts w:ascii="Calibri" w:hAnsi="Calibri"/>
            <w:i/>
            <w:szCs w:val="24"/>
          </w:rPr>
          <w:t>ments Act 2003</w:t>
        </w:r>
      </w:hyperlink>
      <w:r w:rsidRPr="00390F32">
        <w:rPr>
          <w:rFonts w:ascii="Calibri" w:hAnsi="Calibri"/>
          <w:szCs w:val="24"/>
        </w:rPr>
        <w:t xml:space="preserve"> (the Act) regarding the description of the nature of consultation or the explanation as to why no consultation was undertaken. Where an ES does not meet these technical requirements, the committee generally corresponds with the relevant minister seeking further information and appropriate amendment of the ES.</w:t>
      </w:r>
    </w:p>
    <w:p w:rsidR="003F17A2" w:rsidRPr="00390F32" w:rsidRDefault="003F17A2" w:rsidP="00BD6245">
      <w:pPr>
        <w:spacing w:after="0"/>
        <w:rPr>
          <w:rFonts w:ascii="Calibri" w:hAnsi="Calibri"/>
          <w:szCs w:val="24"/>
        </w:rPr>
      </w:pPr>
    </w:p>
    <w:p w:rsidR="003F17A2" w:rsidRPr="00390F32" w:rsidRDefault="003F17A2" w:rsidP="00BD6245">
      <w:pPr>
        <w:spacing w:after="0"/>
        <w:rPr>
          <w:rFonts w:ascii="Calibri" w:hAnsi="Calibri"/>
          <w:szCs w:val="24"/>
        </w:rPr>
      </w:pPr>
      <w:r w:rsidRPr="00390F32">
        <w:rPr>
          <w:rFonts w:ascii="Calibri" w:hAnsi="Calibri"/>
          <w:szCs w:val="24"/>
        </w:rPr>
        <w:t xml:space="preserve">Ensuring that the technical requirements of the Act are met in the first instance will negate the need for the committee to write to the relevant minister seeking compliance, and ensure that an instrument is not potentially subject to </w:t>
      </w:r>
      <w:hyperlink r:id="rId38" w:history="1">
        <w:r w:rsidRPr="00390F32">
          <w:rPr>
            <w:rStyle w:val="Hyperlink"/>
            <w:rFonts w:ascii="Calibri" w:hAnsi="Calibri"/>
            <w:szCs w:val="24"/>
          </w:rPr>
          <w:t>disal</w:t>
        </w:r>
        <w:r w:rsidRPr="00390F32">
          <w:rPr>
            <w:rStyle w:val="Hyperlink"/>
            <w:rFonts w:ascii="Calibri" w:hAnsi="Calibri"/>
            <w:szCs w:val="24"/>
          </w:rPr>
          <w:t>l</w:t>
        </w:r>
        <w:r w:rsidRPr="00390F32">
          <w:rPr>
            <w:rStyle w:val="Hyperlink"/>
            <w:rFonts w:ascii="Calibri" w:hAnsi="Calibri"/>
            <w:szCs w:val="24"/>
          </w:rPr>
          <w:t>o</w:t>
        </w:r>
        <w:r w:rsidRPr="00390F32">
          <w:rPr>
            <w:rStyle w:val="Hyperlink"/>
            <w:rFonts w:ascii="Calibri" w:hAnsi="Calibri"/>
            <w:szCs w:val="24"/>
          </w:rPr>
          <w:t>w</w:t>
        </w:r>
        <w:r w:rsidRPr="00390F32">
          <w:rPr>
            <w:rStyle w:val="Hyperlink"/>
            <w:rFonts w:ascii="Calibri" w:hAnsi="Calibri"/>
            <w:szCs w:val="24"/>
          </w:rPr>
          <w:t>ance</w:t>
        </w:r>
      </w:hyperlink>
      <w:r w:rsidRPr="00390F32">
        <w:rPr>
          <w:rFonts w:ascii="Calibri" w:hAnsi="Calibri"/>
          <w:szCs w:val="24"/>
        </w:rPr>
        <w:t>.</w:t>
      </w:r>
    </w:p>
    <w:p w:rsidR="003F17A2" w:rsidRPr="00390F32" w:rsidRDefault="003F17A2" w:rsidP="00BD6245">
      <w:pPr>
        <w:spacing w:after="0"/>
        <w:rPr>
          <w:rFonts w:ascii="Calibri" w:hAnsi="Calibri"/>
          <w:szCs w:val="24"/>
        </w:rPr>
      </w:pPr>
    </w:p>
    <w:p w:rsidR="003F17A2" w:rsidRPr="00390F32" w:rsidRDefault="003F17A2" w:rsidP="00BD6245">
      <w:pPr>
        <w:spacing w:after="0"/>
        <w:rPr>
          <w:rFonts w:ascii="Calibri" w:hAnsi="Calibri"/>
          <w:szCs w:val="24"/>
        </w:rPr>
      </w:pPr>
      <w:r w:rsidRPr="00390F32">
        <w:rPr>
          <w:rFonts w:ascii="Calibri" w:hAnsi="Calibri"/>
          <w:szCs w:val="24"/>
        </w:rPr>
        <w:t>It is important to note that the committee's concern in this area is to ensure only that an ES is technically compliant with the descriptive requirements of the Act regarding consultation, and that the question of whether consultation that has been undertaken is appropriate is a matter decided by the rule-maker at the time an instrument is made.</w:t>
      </w:r>
    </w:p>
    <w:p w:rsidR="003F17A2" w:rsidRPr="00390F32" w:rsidRDefault="003F17A2" w:rsidP="00BD6245">
      <w:pPr>
        <w:spacing w:after="0"/>
        <w:rPr>
          <w:rFonts w:ascii="Calibri" w:hAnsi="Calibri"/>
          <w:szCs w:val="24"/>
        </w:rPr>
      </w:pPr>
    </w:p>
    <w:p w:rsidR="003F17A2" w:rsidRPr="00390F32" w:rsidRDefault="003F17A2" w:rsidP="00BD6245">
      <w:pPr>
        <w:spacing w:after="0"/>
        <w:rPr>
          <w:rFonts w:ascii="Calibri" w:hAnsi="Calibri"/>
          <w:szCs w:val="24"/>
        </w:rPr>
      </w:pPr>
      <w:r w:rsidRPr="00390F32">
        <w:rPr>
          <w:rFonts w:ascii="Calibri" w:hAnsi="Calibri"/>
          <w:szCs w:val="24"/>
        </w:rPr>
        <w:t>However, the nature of any consultation undertaken may be separately relevant to issues arising from the committee's scrutiny principles, and in such cases the committee may consider the character and scope of any consultation undertaken more broadly.</w:t>
      </w:r>
    </w:p>
    <w:p w:rsidR="003F17A2" w:rsidRPr="00390F32" w:rsidRDefault="003F17A2" w:rsidP="00BD6245">
      <w:pPr>
        <w:spacing w:after="0"/>
        <w:rPr>
          <w:rFonts w:ascii="Calibri" w:hAnsi="Calibri"/>
          <w:szCs w:val="24"/>
        </w:rPr>
      </w:pPr>
    </w:p>
    <w:p w:rsidR="003F17A2" w:rsidRPr="00390F32" w:rsidRDefault="003F17A2" w:rsidP="00BD6245">
      <w:pPr>
        <w:spacing w:after="120"/>
        <w:rPr>
          <w:rFonts w:ascii="Calibri" w:hAnsi="Calibri"/>
          <w:b/>
          <w:szCs w:val="24"/>
        </w:rPr>
      </w:pPr>
      <w:r w:rsidRPr="00390F32">
        <w:rPr>
          <w:rFonts w:ascii="Calibri" w:hAnsi="Calibri"/>
          <w:b/>
          <w:i/>
          <w:szCs w:val="24"/>
        </w:rPr>
        <w:t>Requirements of the</w:t>
      </w:r>
      <w:r w:rsidRPr="00390F32">
        <w:rPr>
          <w:rFonts w:ascii="Calibri" w:hAnsi="Calibri"/>
          <w:b/>
          <w:szCs w:val="24"/>
        </w:rPr>
        <w:t xml:space="preserve"> Legislative Instruments Act 2003</w:t>
      </w:r>
    </w:p>
    <w:p w:rsidR="003F17A2" w:rsidRPr="00390F32" w:rsidRDefault="003F17A2" w:rsidP="00BD6245">
      <w:pPr>
        <w:spacing w:after="0"/>
        <w:rPr>
          <w:rFonts w:ascii="Calibri" w:hAnsi="Calibri"/>
          <w:szCs w:val="24"/>
        </w:rPr>
      </w:pPr>
      <w:r w:rsidRPr="00390F32">
        <w:rPr>
          <w:rFonts w:ascii="Calibri" w:hAnsi="Calibri"/>
          <w:szCs w:val="24"/>
        </w:rPr>
        <w:lastRenderedPageBreak/>
        <w:t>Section 17 of the Act requires that, before making a legislative instrument, the instrument-maker must be satisfied that appropriate consultation, as is reasonably practicable, has been undertaken in relation to a proposed instrument, particularly where that instrument is likely to have an effect on business.</w:t>
      </w:r>
    </w:p>
    <w:p w:rsidR="003F17A2" w:rsidRPr="00390F32" w:rsidRDefault="003F17A2" w:rsidP="00BD6245">
      <w:pPr>
        <w:spacing w:after="0"/>
        <w:rPr>
          <w:rFonts w:ascii="Calibri" w:hAnsi="Calibri"/>
          <w:szCs w:val="24"/>
        </w:rPr>
      </w:pPr>
    </w:p>
    <w:p w:rsidR="003F17A2" w:rsidRPr="00390F32" w:rsidRDefault="003F17A2" w:rsidP="00BD6245">
      <w:pPr>
        <w:spacing w:after="0"/>
        <w:rPr>
          <w:rFonts w:ascii="Calibri" w:hAnsi="Calibri"/>
          <w:szCs w:val="24"/>
        </w:rPr>
      </w:pPr>
      <w:r w:rsidRPr="00390F32">
        <w:rPr>
          <w:rFonts w:ascii="Calibri" w:hAnsi="Calibri"/>
          <w:szCs w:val="24"/>
        </w:rPr>
        <w:t>Section 18 of the Act, however, provides that in some circumstances such consultation may be 'unnecessary or inappropriate'.</w:t>
      </w:r>
    </w:p>
    <w:p w:rsidR="003F17A2" w:rsidRPr="00390F32" w:rsidRDefault="003F17A2" w:rsidP="00BD6245">
      <w:pPr>
        <w:spacing w:after="0"/>
        <w:rPr>
          <w:rFonts w:ascii="Calibri" w:hAnsi="Calibri"/>
          <w:szCs w:val="24"/>
        </w:rPr>
      </w:pPr>
    </w:p>
    <w:p w:rsidR="003F17A2" w:rsidRPr="00390F32" w:rsidRDefault="003F17A2" w:rsidP="00BD6245">
      <w:pPr>
        <w:spacing w:after="0"/>
        <w:rPr>
          <w:rFonts w:ascii="Calibri" w:hAnsi="Calibri"/>
          <w:szCs w:val="24"/>
        </w:rPr>
      </w:pPr>
      <w:r w:rsidRPr="00390F32">
        <w:rPr>
          <w:rFonts w:ascii="Calibri" w:hAnsi="Calibri"/>
          <w:szCs w:val="24"/>
        </w:rPr>
        <w:t xml:space="preserve">It is important to note that </w:t>
      </w:r>
      <w:r w:rsidRPr="009E7C87">
        <w:rPr>
          <w:rFonts w:ascii="Calibri" w:hAnsi="Calibri"/>
          <w:szCs w:val="24"/>
        </w:rPr>
        <w:t>section</w:t>
      </w:r>
      <w:r>
        <w:rPr>
          <w:rFonts w:ascii="Calibri" w:hAnsi="Calibri"/>
          <w:szCs w:val="24"/>
        </w:rPr>
        <w:t xml:space="preserve"> 26</w:t>
      </w:r>
      <w:r w:rsidRPr="00390F32">
        <w:rPr>
          <w:rFonts w:ascii="Calibri" w:hAnsi="Calibri"/>
          <w:szCs w:val="24"/>
        </w:rPr>
        <w:t xml:space="preserve"> </w:t>
      </w:r>
      <w:r>
        <w:rPr>
          <w:rFonts w:ascii="Calibri" w:hAnsi="Calibri"/>
          <w:szCs w:val="24"/>
        </w:rPr>
        <w:t xml:space="preserve">of the Act </w:t>
      </w:r>
      <w:r w:rsidRPr="00390F32">
        <w:rPr>
          <w:rFonts w:ascii="Calibri" w:hAnsi="Calibri"/>
          <w:szCs w:val="24"/>
        </w:rPr>
        <w:t xml:space="preserve">requires that explanatory statements </w:t>
      </w:r>
      <w:r w:rsidRPr="00390F32">
        <w:rPr>
          <w:rFonts w:ascii="Calibri" w:hAnsi="Calibri"/>
          <w:szCs w:val="24"/>
          <w:u w:val="single"/>
        </w:rPr>
        <w:t>describe the nature of any consultation that has been undertaken or, if no such consultation has been undertaken, to explain why none was undertaken</w:t>
      </w:r>
      <w:r w:rsidRPr="00390F32">
        <w:rPr>
          <w:rFonts w:ascii="Calibri" w:hAnsi="Calibri"/>
          <w:szCs w:val="24"/>
        </w:rPr>
        <w:t>.</w:t>
      </w:r>
    </w:p>
    <w:p w:rsidR="003F17A2" w:rsidRPr="00390F32" w:rsidRDefault="003F17A2" w:rsidP="00BD6245">
      <w:pPr>
        <w:spacing w:after="0"/>
        <w:rPr>
          <w:rFonts w:ascii="Calibri" w:hAnsi="Calibri"/>
          <w:szCs w:val="24"/>
        </w:rPr>
      </w:pPr>
    </w:p>
    <w:p w:rsidR="003F17A2" w:rsidRPr="00390F32" w:rsidRDefault="003F17A2" w:rsidP="00BD6245">
      <w:pPr>
        <w:spacing w:after="0"/>
        <w:rPr>
          <w:rFonts w:ascii="Calibri" w:hAnsi="Calibri"/>
          <w:szCs w:val="24"/>
        </w:rPr>
      </w:pPr>
      <w:r w:rsidRPr="00390F32">
        <w:rPr>
          <w:rFonts w:ascii="Calibri" w:hAnsi="Calibri"/>
          <w:szCs w:val="24"/>
        </w:rPr>
        <w:t xml:space="preserve">It is also important to note that </w:t>
      </w:r>
      <w:r w:rsidRPr="00390F32">
        <w:rPr>
          <w:rFonts w:ascii="Calibri" w:hAnsi="Calibri"/>
          <w:szCs w:val="24"/>
          <w:u w:val="single"/>
        </w:rPr>
        <w:t>requirements regarding the preparation of a Regulation Impact Statement (RIS) are separate to the requirements of the Act in relation to consultation</w:t>
      </w:r>
      <w:r w:rsidRPr="00390F32">
        <w:rPr>
          <w:rFonts w:ascii="Calibri" w:hAnsi="Calibri"/>
          <w:szCs w:val="24"/>
        </w:rPr>
        <w:t xml:space="preserve">. This means that, although a RIS may not be required in relation to a certain instrument, the requirements of the Act regarding a description of the nature of consultation undertaken, or an explanation of why consultation has not occurred, must still be met. However, consultation that has been undertaken under a RIS process will generally satisfy the requirements of the Act, provided that that consultation is adequately described (see below). </w:t>
      </w:r>
    </w:p>
    <w:p w:rsidR="003F17A2" w:rsidRPr="00390F32" w:rsidRDefault="003F17A2" w:rsidP="00BD6245">
      <w:pPr>
        <w:spacing w:after="0"/>
        <w:rPr>
          <w:rFonts w:ascii="Calibri" w:hAnsi="Calibri"/>
          <w:szCs w:val="24"/>
        </w:rPr>
      </w:pPr>
    </w:p>
    <w:p w:rsidR="003F17A2" w:rsidRPr="00390F32" w:rsidRDefault="003F17A2" w:rsidP="00BD6245">
      <w:pPr>
        <w:spacing w:after="0"/>
        <w:rPr>
          <w:rFonts w:ascii="Calibri" w:hAnsi="Calibri"/>
          <w:szCs w:val="24"/>
        </w:rPr>
      </w:pPr>
      <w:r w:rsidRPr="00390F32">
        <w:rPr>
          <w:rFonts w:ascii="Calibri" w:hAnsi="Calibri"/>
          <w:szCs w:val="24"/>
        </w:rPr>
        <w:t>If a RIS or similar assessment has been prepared, it should be provided to the committee along with the ES.</w:t>
      </w:r>
    </w:p>
    <w:p w:rsidR="003F17A2" w:rsidRPr="00390F32" w:rsidRDefault="003F17A2" w:rsidP="00167EE8">
      <w:pPr>
        <w:spacing w:after="0"/>
        <w:rPr>
          <w:rFonts w:ascii="Calibri" w:hAnsi="Calibri"/>
          <w:szCs w:val="24"/>
        </w:rPr>
      </w:pPr>
    </w:p>
    <w:p w:rsidR="003F17A2" w:rsidRPr="00390F32" w:rsidRDefault="003F17A2" w:rsidP="00167EE8">
      <w:pPr>
        <w:spacing w:after="120"/>
        <w:rPr>
          <w:rFonts w:ascii="Calibri" w:hAnsi="Calibri"/>
          <w:b/>
          <w:i/>
          <w:szCs w:val="24"/>
        </w:rPr>
      </w:pPr>
      <w:r w:rsidRPr="00390F32">
        <w:rPr>
          <w:rFonts w:ascii="Calibri" w:hAnsi="Calibri"/>
          <w:b/>
          <w:i/>
          <w:szCs w:val="24"/>
        </w:rPr>
        <w:t>Describing the nature of consultation</w:t>
      </w:r>
    </w:p>
    <w:p w:rsidR="003F17A2" w:rsidRPr="00390F32" w:rsidRDefault="003F17A2" w:rsidP="00BD6245">
      <w:pPr>
        <w:spacing w:after="0"/>
        <w:rPr>
          <w:rFonts w:ascii="Calibri" w:hAnsi="Calibri"/>
          <w:szCs w:val="24"/>
        </w:rPr>
      </w:pPr>
      <w:r w:rsidRPr="00390F32">
        <w:rPr>
          <w:rFonts w:ascii="Calibri" w:hAnsi="Calibri"/>
          <w:szCs w:val="24"/>
        </w:rPr>
        <w:t xml:space="preserve">To meet the requirements of section </w:t>
      </w:r>
      <w:r>
        <w:rPr>
          <w:rFonts w:ascii="Calibri" w:hAnsi="Calibri"/>
          <w:szCs w:val="24"/>
        </w:rPr>
        <w:t>26</w:t>
      </w:r>
      <w:r w:rsidRPr="00390F32">
        <w:rPr>
          <w:rFonts w:ascii="Calibri" w:hAnsi="Calibri"/>
          <w:szCs w:val="24"/>
        </w:rPr>
        <w:t xml:space="preserve"> of the Act, an ES must </w:t>
      </w:r>
      <w:r w:rsidRPr="00390F32">
        <w:rPr>
          <w:rFonts w:ascii="Calibri" w:hAnsi="Calibri"/>
          <w:i/>
          <w:szCs w:val="24"/>
        </w:rPr>
        <w:t>describe the nature of any consultation that has been undertaken</w:t>
      </w:r>
      <w:r w:rsidRPr="00390F32">
        <w:rPr>
          <w:rFonts w:ascii="Calibri" w:hAnsi="Calibri"/>
          <w:szCs w:val="24"/>
        </w:rPr>
        <w:t xml:space="preserve">. The committee does not usually interpret this as requiring a highly detailed description of any consultation undertaken. However, a bare or </w:t>
      </w:r>
      <w:proofErr w:type="gramStart"/>
      <w:r w:rsidRPr="00390F32">
        <w:rPr>
          <w:rFonts w:ascii="Calibri" w:hAnsi="Calibri"/>
          <w:szCs w:val="24"/>
        </w:rPr>
        <w:t>very</w:t>
      </w:r>
      <w:proofErr w:type="gramEnd"/>
      <w:r w:rsidRPr="00390F32">
        <w:rPr>
          <w:rFonts w:ascii="Calibri" w:hAnsi="Calibri"/>
          <w:szCs w:val="24"/>
        </w:rPr>
        <w:t xml:space="preserve"> generalised statement of the fact that consultation has taken place may be considered insufficient to meet the requirements of the Act.</w:t>
      </w:r>
    </w:p>
    <w:p w:rsidR="003F17A2" w:rsidRPr="00390F32" w:rsidRDefault="003F17A2" w:rsidP="00BD6245">
      <w:pPr>
        <w:spacing w:after="0"/>
        <w:rPr>
          <w:rFonts w:ascii="Calibri" w:hAnsi="Calibri"/>
          <w:szCs w:val="24"/>
        </w:rPr>
      </w:pPr>
    </w:p>
    <w:p w:rsidR="003F17A2" w:rsidRPr="00390F32" w:rsidRDefault="003F17A2" w:rsidP="00BD6245">
      <w:pPr>
        <w:spacing w:after="0"/>
        <w:rPr>
          <w:rFonts w:ascii="Calibri" w:hAnsi="Calibri"/>
          <w:szCs w:val="24"/>
        </w:rPr>
      </w:pPr>
      <w:r w:rsidRPr="00390F32">
        <w:rPr>
          <w:rFonts w:ascii="Calibri" w:hAnsi="Calibri"/>
          <w:szCs w:val="24"/>
        </w:rPr>
        <w:t>Where consultation has taken place, the ES to an instrument should set out the following information:</w:t>
      </w:r>
    </w:p>
    <w:p w:rsidR="003F17A2" w:rsidRPr="00390F32" w:rsidRDefault="003F17A2" w:rsidP="00BD6245">
      <w:pPr>
        <w:spacing w:after="0"/>
        <w:rPr>
          <w:rFonts w:ascii="Calibri" w:hAnsi="Calibri"/>
          <w:szCs w:val="24"/>
        </w:rPr>
      </w:pPr>
    </w:p>
    <w:p w:rsidR="003F17A2" w:rsidRPr="00390F32" w:rsidRDefault="003F17A2" w:rsidP="00167EE8">
      <w:pPr>
        <w:spacing w:after="120"/>
        <w:rPr>
          <w:rFonts w:ascii="Calibri" w:hAnsi="Calibri"/>
          <w:i/>
          <w:szCs w:val="24"/>
        </w:rPr>
      </w:pPr>
      <w:r w:rsidRPr="00390F32">
        <w:rPr>
          <w:rFonts w:ascii="Calibri" w:hAnsi="Calibri"/>
          <w:i/>
          <w:szCs w:val="24"/>
        </w:rPr>
        <w:t>Method and purpose of consultation</w:t>
      </w:r>
    </w:p>
    <w:p w:rsidR="003F17A2" w:rsidRPr="00390F32" w:rsidRDefault="003F17A2" w:rsidP="00BD6245">
      <w:pPr>
        <w:spacing w:after="0"/>
        <w:rPr>
          <w:rFonts w:ascii="Calibri" w:hAnsi="Calibri"/>
          <w:szCs w:val="24"/>
        </w:rPr>
      </w:pPr>
      <w:r w:rsidRPr="00390F32">
        <w:rPr>
          <w:rFonts w:ascii="Calibri" w:hAnsi="Calibri"/>
          <w:szCs w:val="24"/>
        </w:rPr>
        <w:t>An ES should state who and/or which bodies or groups were targeted for consultation and set out the purpose and parameters of the consultation. An ES should avoid bare statements such as 'Consultation was undertaken'.</w:t>
      </w:r>
    </w:p>
    <w:p w:rsidR="003F17A2" w:rsidRPr="00390F32" w:rsidRDefault="003F17A2" w:rsidP="00BD6245">
      <w:pPr>
        <w:spacing w:after="0"/>
        <w:rPr>
          <w:rFonts w:ascii="Calibri" w:hAnsi="Calibri"/>
          <w:szCs w:val="24"/>
        </w:rPr>
      </w:pPr>
    </w:p>
    <w:p w:rsidR="003F17A2" w:rsidRPr="00390F32" w:rsidRDefault="00167EE8" w:rsidP="00167EE8">
      <w:pPr>
        <w:spacing w:after="120"/>
        <w:rPr>
          <w:rFonts w:ascii="Calibri" w:hAnsi="Calibri"/>
          <w:i/>
          <w:szCs w:val="24"/>
        </w:rPr>
      </w:pPr>
      <w:r>
        <w:rPr>
          <w:rFonts w:ascii="Calibri" w:hAnsi="Calibri"/>
          <w:i/>
          <w:szCs w:val="24"/>
        </w:rPr>
        <w:br w:type="page"/>
      </w:r>
      <w:r w:rsidR="003F17A2" w:rsidRPr="00390F32">
        <w:rPr>
          <w:rFonts w:ascii="Calibri" w:hAnsi="Calibri"/>
          <w:i/>
          <w:szCs w:val="24"/>
        </w:rPr>
        <w:lastRenderedPageBreak/>
        <w:t>Bodies/groups/individuals consulted</w:t>
      </w:r>
    </w:p>
    <w:p w:rsidR="003F17A2" w:rsidRPr="00390F32" w:rsidRDefault="003F17A2" w:rsidP="00BD6245">
      <w:pPr>
        <w:spacing w:after="0"/>
        <w:rPr>
          <w:rFonts w:ascii="Calibri" w:hAnsi="Calibri"/>
          <w:szCs w:val="24"/>
        </w:rPr>
      </w:pPr>
      <w:r w:rsidRPr="00390F32">
        <w:rPr>
          <w:rFonts w:ascii="Calibri" w:hAnsi="Calibri"/>
          <w:szCs w:val="24"/>
        </w:rPr>
        <w:t xml:space="preserve">An ES should specify the actual names of departments, bodies, agencies, </w:t>
      </w:r>
      <w:proofErr w:type="gramStart"/>
      <w:r w:rsidRPr="00390F32">
        <w:rPr>
          <w:rFonts w:ascii="Calibri" w:hAnsi="Calibri"/>
          <w:szCs w:val="24"/>
        </w:rPr>
        <w:t>groups</w:t>
      </w:r>
      <w:proofErr w:type="gramEnd"/>
      <w:r w:rsidRPr="00390F32">
        <w:rPr>
          <w:rFonts w:ascii="Calibri" w:hAnsi="Calibri"/>
          <w:szCs w:val="24"/>
        </w:rPr>
        <w:t xml:space="preserve"> et cetera that were consulted. An ES should avoid overly generalised statements such as 'Relevant stakeholders were consulted'.</w:t>
      </w:r>
    </w:p>
    <w:p w:rsidR="003F17A2" w:rsidRPr="00390F32" w:rsidRDefault="003F17A2" w:rsidP="00BD6245">
      <w:pPr>
        <w:spacing w:after="0"/>
        <w:rPr>
          <w:rFonts w:ascii="Calibri" w:hAnsi="Calibri"/>
          <w:szCs w:val="24"/>
        </w:rPr>
      </w:pPr>
    </w:p>
    <w:p w:rsidR="003F17A2" w:rsidRPr="00390F32" w:rsidRDefault="003F17A2" w:rsidP="00167EE8">
      <w:pPr>
        <w:spacing w:after="120"/>
        <w:rPr>
          <w:rFonts w:ascii="Calibri" w:hAnsi="Calibri"/>
          <w:i/>
          <w:szCs w:val="24"/>
        </w:rPr>
      </w:pPr>
      <w:r w:rsidRPr="00390F32">
        <w:rPr>
          <w:rFonts w:ascii="Calibri" w:hAnsi="Calibri"/>
          <w:i/>
          <w:szCs w:val="24"/>
        </w:rPr>
        <w:t>Issues raised in consultations and outcomes</w:t>
      </w:r>
    </w:p>
    <w:p w:rsidR="003F17A2" w:rsidRPr="00390F32" w:rsidRDefault="003F17A2" w:rsidP="00BD6245">
      <w:pPr>
        <w:spacing w:after="0"/>
        <w:rPr>
          <w:rFonts w:ascii="Calibri" w:hAnsi="Calibri"/>
          <w:szCs w:val="24"/>
        </w:rPr>
      </w:pPr>
      <w:r w:rsidRPr="00390F32">
        <w:rPr>
          <w:rFonts w:ascii="Calibri" w:hAnsi="Calibri"/>
          <w:szCs w:val="24"/>
        </w:rPr>
        <w:t>An ES should identify the nature of any issues raised in consultations, as well the outcome of the consultation process. For example, an ES could state: 'A number of submissions raised concerns in relation to the effect of the instrument on retirees. An exemption for retirees was introduced in response to these concerns'.</w:t>
      </w:r>
    </w:p>
    <w:p w:rsidR="003F17A2" w:rsidRPr="00390F32" w:rsidRDefault="003F17A2" w:rsidP="00BD6245">
      <w:pPr>
        <w:spacing w:after="0"/>
        <w:rPr>
          <w:rFonts w:ascii="Calibri" w:hAnsi="Calibri"/>
          <w:szCs w:val="24"/>
        </w:rPr>
      </w:pPr>
    </w:p>
    <w:p w:rsidR="003F17A2" w:rsidRPr="00390F32" w:rsidRDefault="003F17A2" w:rsidP="00167EE8">
      <w:pPr>
        <w:spacing w:after="120"/>
        <w:rPr>
          <w:rFonts w:ascii="Calibri" w:hAnsi="Calibri"/>
          <w:b/>
          <w:i/>
          <w:szCs w:val="24"/>
        </w:rPr>
      </w:pPr>
      <w:r w:rsidRPr="00390F32">
        <w:rPr>
          <w:rFonts w:ascii="Calibri" w:hAnsi="Calibri"/>
          <w:b/>
          <w:i/>
          <w:szCs w:val="24"/>
        </w:rPr>
        <w:t>Explaining why consultation has not been undertaken</w:t>
      </w:r>
    </w:p>
    <w:p w:rsidR="003F17A2" w:rsidRPr="00390F32" w:rsidRDefault="003F17A2" w:rsidP="00BD6245">
      <w:pPr>
        <w:spacing w:after="0"/>
        <w:rPr>
          <w:rFonts w:ascii="Calibri" w:hAnsi="Calibri"/>
          <w:szCs w:val="24"/>
        </w:rPr>
      </w:pPr>
      <w:r w:rsidRPr="00390F32">
        <w:rPr>
          <w:rFonts w:ascii="Calibri" w:hAnsi="Calibri"/>
          <w:szCs w:val="24"/>
        </w:rPr>
        <w:t xml:space="preserve">To meet the requirements of section </w:t>
      </w:r>
      <w:r>
        <w:rPr>
          <w:rFonts w:ascii="Calibri" w:hAnsi="Calibri"/>
          <w:szCs w:val="24"/>
        </w:rPr>
        <w:t>26</w:t>
      </w:r>
      <w:r w:rsidRPr="00390F32">
        <w:rPr>
          <w:rFonts w:ascii="Calibri" w:hAnsi="Calibri"/>
          <w:szCs w:val="24"/>
        </w:rPr>
        <w:t xml:space="preserve"> of the Act, an ES must </w:t>
      </w:r>
      <w:r w:rsidRPr="00390F32">
        <w:rPr>
          <w:rFonts w:ascii="Calibri" w:hAnsi="Calibri"/>
          <w:i/>
          <w:szCs w:val="24"/>
        </w:rPr>
        <w:t>explain why no consultation was undertaken</w:t>
      </w:r>
      <w:r w:rsidRPr="00390F32">
        <w:rPr>
          <w:rFonts w:ascii="Calibri" w:hAnsi="Calibri"/>
          <w:szCs w:val="24"/>
        </w:rPr>
        <w:t>. The committee does not usually interpret this as requiring a highly detailed explanation of why consultation was not undertaken. However, a bare statement that consultation has not taken place may be considered insufficient to meet the requirements of the Act.</w:t>
      </w:r>
    </w:p>
    <w:p w:rsidR="003F17A2" w:rsidRPr="00390F32" w:rsidRDefault="003F17A2" w:rsidP="00BD6245">
      <w:pPr>
        <w:spacing w:after="0"/>
        <w:rPr>
          <w:rFonts w:ascii="Calibri" w:hAnsi="Calibri"/>
          <w:szCs w:val="24"/>
        </w:rPr>
      </w:pPr>
    </w:p>
    <w:p w:rsidR="003F17A2" w:rsidRPr="00390F32" w:rsidRDefault="003F17A2" w:rsidP="00BD6245">
      <w:pPr>
        <w:spacing w:after="0"/>
        <w:rPr>
          <w:rFonts w:ascii="Calibri" w:hAnsi="Calibri"/>
          <w:szCs w:val="24"/>
        </w:rPr>
      </w:pPr>
      <w:r w:rsidRPr="00390F32">
        <w:rPr>
          <w:rFonts w:ascii="Calibri" w:hAnsi="Calibri"/>
          <w:szCs w:val="24"/>
        </w:rPr>
        <w:t>In explaining why no consultation has taken place, it is important to note the following considerations:</w:t>
      </w:r>
    </w:p>
    <w:p w:rsidR="003F17A2" w:rsidRPr="00390F32" w:rsidRDefault="003F17A2" w:rsidP="00BD6245">
      <w:pPr>
        <w:spacing w:after="0"/>
        <w:rPr>
          <w:rFonts w:ascii="Calibri" w:hAnsi="Calibri"/>
          <w:szCs w:val="24"/>
        </w:rPr>
      </w:pPr>
    </w:p>
    <w:p w:rsidR="003F17A2" w:rsidRPr="00390F32" w:rsidRDefault="003F17A2" w:rsidP="00167EE8">
      <w:pPr>
        <w:spacing w:after="120"/>
        <w:rPr>
          <w:rFonts w:ascii="Calibri" w:hAnsi="Calibri"/>
          <w:i/>
          <w:szCs w:val="24"/>
        </w:rPr>
      </w:pPr>
      <w:r w:rsidRPr="00390F32">
        <w:rPr>
          <w:rFonts w:ascii="Calibri" w:hAnsi="Calibri"/>
          <w:i/>
          <w:szCs w:val="24"/>
        </w:rPr>
        <w:t>Specific examples listed in the Act</w:t>
      </w:r>
    </w:p>
    <w:p w:rsidR="003F17A2" w:rsidRPr="00390F32" w:rsidRDefault="003F17A2" w:rsidP="00BD6245">
      <w:pPr>
        <w:spacing w:after="0"/>
        <w:rPr>
          <w:rFonts w:ascii="Calibri" w:hAnsi="Calibri"/>
          <w:szCs w:val="24"/>
        </w:rPr>
      </w:pPr>
      <w:r w:rsidRPr="00390F32">
        <w:rPr>
          <w:rFonts w:ascii="Calibri" w:hAnsi="Calibri"/>
          <w:szCs w:val="24"/>
        </w:rPr>
        <w:t xml:space="preserve">Section 18 lists a number of examples where an instrument-maker may be satisfied that consultation is unnecessary or inappropriate in relation to a specific instrument. This list is </w:t>
      </w:r>
      <w:r w:rsidRPr="00390F32">
        <w:rPr>
          <w:rFonts w:ascii="Calibri" w:hAnsi="Calibri"/>
          <w:szCs w:val="24"/>
          <w:u w:val="single"/>
        </w:rPr>
        <w:t>not exhaustive</w:t>
      </w:r>
      <w:r w:rsidRPr="00390F32">
        <w:rPr>
          <w:rFonts w:ascii="Calibri" w:hAnsi="Calibri"/>
          <w:szCs w:val="24"/>
        </w:rPr>
        <w:t xml:space="preserve"> of the grounds which may be advanced as to why consultation was not undertaken in a given case. The ES should state </w:t>
      </w:r>
      <w:r w:rsidRPr="00390F32">
        <w:rPr>
          <w:rFonts w:ascii="Calibri" w:hAnsi="Calibri"/>
          <w:szCs w:val="24"/>
          <w:u w:val="single"/>
        </w:rPr>
        <w:t>why</w:t>
      </w:r>
      <w:r w:rsidRPr="00390F32">
        <w:rPr>
          <w:rFonts w:ascii="Calibri" w:hAnsi="Calibri"/>
          <w:szCs w:val="24"/>
        </w:rPr>
        <w:t xml:space="preserve"> consultation was unnecessary or inappropriate, and </w:t>
      </w:r>
      <w:r w:rsidRPr="00390F32">
        <w:rPr>
          <w:rFonts w:ascii="Calibri" w:hAnsi="Calibri"/>
          <w:szCs w:val="24"/>
          <w:u w:val="single"/>
        </w:rPr>
        <w:t>explain the reasoning in support of this conclusion</w:t>
      </w:r>
      <w:r w:rsidRPr="00390F32">
        <w:rPr>
          <w:rFonts w:ascii="Calibri" w:hAnsi="Calibri"/>
          <w:szCs w:val="24"/>
        </w:rPr>
        <w:t>. An ES should avoid bare assertions such as 'Consultation was not undertaken because the instrument is beneficial in nature'.</w:t>
      </w:r>
    </w:p>
    <w:p w:rsidR="003F17A2" w:rsidRPr="00390F32" w:rsidRDefault="003F17A2" w:rsidP="00BD6245">
      <w:pPr>
        <w:spacing w:after="0"/>
        <w:rPr>
          <w:rFonts w:ascii="Calibri" w:hAnsi="Calibri"/>
          <w:szCs w:val="24"/>
        </w:rPr>
      </w:pPr>
    </w:p>
    <w:p w:rsidR="003F17A2" w:rsidRPr="00390F32" w:rsidRDefault="003F17A2" w:rsidP="00167EE8">
      <w:pPr>
        <w:spacing w:after="120"/>
        <w:rPr>
          <w:rFonts w:ascii="Calibri" w:hAnsi="Calibri"/>
          <w:i/>
          <w:szCs w:val="24"/>
        </w:rPr>
      </w:pPr>
      <w:r w:rsidRPr="00390F32">
        <w:rPr>
          <w:rFonts w:ascii="Calibri" w:hAnsi="Calibri"/>
          <w:i/>
          <w:szCs w:val="24"/>
        </w:rPr>
        <w:t>Timing of consultation</w:t>
      </w:r>
    </w:p>
    <w:p w:rsidR="003F17A2" w:rsidRPr="00390F32" w:rsidRDefault="003F17A2" w:rsidP="00BD6245">
      <w:pPr>
        <w:spacing w:after="0"/>
        <w:rPr>
          <w:rFonts w:ascii="Calibri" w:hAnsi="Calibri"/>
          <w:szCs w:val="24"/>
        </w:rPr>
      </w:pPr>
      <w:r w:rsidRPr="00390F32">
        <w:rPr>
          <w:rFonts w:ascii="Calibri" w:hAnsi="Calibri"/>
          <w:szCs w:val="24"/>
        </w:rPr>
        <w:t xml:space="preserve">The Act requires that consultation regarding an instrument must take place </w:t>
      </w:r>
      <w:r w:rsidRPr="00390F32">
        <w:rPr>
          <w:rFonts w:ascii="Calibri" w:hAnsi="Calibri"/>
          <w:szCs w:val="24"/>
          <w:u w:val="single"/>
        </w:rPr>
        <w:t>before</w:t>
      </w:r>
      <w:r w:rsidRPr="00390F32">
        <w:rPr>
          <w:rFonts w:ascii="Calibri" w:hAnsi="Calibri"/>
          <w:szCs w:val="24"/>
        </w:rPr>
        <w:t xml:space="preserve"> the instrument is made. This means that, where consultation is planned for the implementation or post-operative phase of changes introduced by a given instrument, that consultation cannot generally be cited to satisfy the requirements of sections 17 and </w:t>
      </w:r>
      <w:r>
        <w:rPr>
          <w:rFonts w:ascii="Calibri" w:hAnsi="Calibri"/>
          <w:szCs w:val="24"/>
        </w:rPr>
        <w:t>26</w:t>
      </w:r>
      <w:r w:rsidRPr="00390F32">
        <w:rPr>
          <w:rFonts w:ascii="Calibri" w:hAnsi="Calibri"/>
          <w:szCs w:val="24"/>
        </w:rPr>
        <w:t xml:space="preserve"> of the Act.</w:t>
      </w:r>
    </w:p>
    <w:p w:rsidR="003F17A2" w:rsidRPr="00390F32" w:rsidRDefault="003F17A2" w:rsidP="00BD6245">
      <w:pPr>
        <w:spacing w:after="0"/>
        <w:rPr>
          <w:rFonts w:ascii="Calibri" w:hAnsi="Calibri"/>
          <w:szCs w:val="24"/>
        </w:rPr>
      </w:pPr>
    </w:p>
    <w:p w:rsidR="003F17A2" w:rsidRPr="00390F32" w:rsidRDefault="003F17A2" w:rsidP="00BD6245">
      <w:pPr>
        <w:spacing w:after="0"/>
        <w:rPr>
          <w:rFonts w:ascii="Calibri" w:hAnsi="Calibri"/>
          <w:szCs w:val="24"/>
        </w:rPr>
      </w:pPr>
      <w:r w:rsidRPr="00390F32">
        <w:rPr>
          <w:rFonts w:ascii="Calibri" w:hAnsi="Calibri"/>
          <w:szCs w:val="24"/>
        </w:rPr>
        <w:t xml:space="preserve">In some cases, consultation is conducted in relation to the primary legislation which authorises the making of an instrument of delegated legislation, and this consultation is cited for the purposes of satisfying the requirements of the Act. The committee </w:t>
      </w:r>
      <w:r w:rsidRPr="00390F32">
        <w:rPr>
          <w:rFonts w:ascii="Calibri" w:hAnsi="Calibri"/>
          <w:szCs w:val="24"/>
          <w:u w:val="single"/>
        </w:rPr>
        <w:t>may</w:t>
      </w:r>
      <w:r w:rsidRPr="00390F32">
        <w:rPr>
          <w:rFonts w:ascii="Calibri" w:hAnsi="Calibri"/>
          <w:szCs w:val="24"/>
        </w:rPr>
        <w:t xml:space="preserve"> regard this as acceptable provided that (a) the primary legislation and the instrument are made at or about the same time and (b) the consultation addresses the matters dealt with in the delegated legislation.</w:t>
      </w:r>
    </w:p>
    <w:p w:rsidR="003F17A2" w:rsidRPr="00390F32" w:rsidRDefault="003F17A2" w:rsidP="00BD6245">
      <w:pPr>
        <w:spacing w:after="0"/>
        <w:rPr>
          <w:rFonts w:ascii="Calibri" w:hAnsi="Calibri"/>
          <w:b/>
          <w:szCs w:val="24"/>
        </w:rPr>
      </w:pPr>
    </w:p>
    <w:p w:rsidR="003F17A2" w:rsidRPr="00390F32" w:rsidRDefault="003F17A2" w:rsidP="00167EE8">
      <w:pPr>
        <w:spacing w:after="120"/>
        <w:rPr>
          <w:rFonts w:ascii="Calibri" w:hAnsi="Calibri"/>
          <w:b/>
          <w:i/>
          <w:szCs w:val="24"/>
        </w:rPr>
      </w:pPr>
      <w:r w:rsidRPr="00390F32">
        <w:rPr>
          <w:rFonts w:ascii="Calibri" w:hAnsi="Calibri"/>
          <w:b/>
          <w:i/>
          <w:szCs w:val="24"/>
        </w:rPr>
        <w:t>Seeking further advice or information</w:t>
      </w:r>
    </w:p>
    <w:p w:rsidR="003F17A2" w:rsidRPr="00390F32" w:rsidRDefault="003F17A2" w:rsidP="00BD6245">
      <w:pPr>
        <w:spacing w:after="0"/>
        <w:rPr>
          <w:rFonts w:ascii="Calibri" w:hAnsi="Calibri"/>
          <w:szCs w:val="24"/>
        </w:rPr>
      </w:pPr>
      <w:r w:rsidRPr="00390F32">
        <w:rPr>
          <w:rFonts w:ascii="Calibri" w:hAnsi="Calibri"/>
          <w:szCs w:val="24"/>
        </w:rPr>
        <w:t xml:space="preserve">For further advice regarding the requirements of the Act in relation to consultation or any other matters, please consult the </w:t>
      </w:r>
      <w:r w:rsidRPr="00390F32">
        <w:rPr>
          <w:rFonts w:ascii="Calibri" w:hAnsi="Calibri"/>
          <w:i/>
          <w:szCs w:val="24"/>
        </w:rPr>
        <w:t>Legislative Instruments Handbook: a practical guide for compliance with the Legislative Instruments Act 2003 and related matters (December 2004)</w:t>
      </w:r>
      <w:r w:rsidRPr="00390F32">
        <w:rPr>
          <w:rFonts w:ascii="Calibri" w:hAnsi="Calibri"/>
          <w:szCs w:val="24"/>
        </w:rPr>
        <w:t>, published by the Office of Legislative Drafting and Publishing.</w:t>
      </w:r>
    </w:p>
    <w:p w:rsidR="003F17A2" w:rsidRPr="00390F32" w:rsidRDefault="003F17A2" w:rsidP="00BD6245">
      <w:pPr>
        <w:spacing w:after="0"/>
        <w:rPr>
          <w:rFonts w:ascii="Calibri" w:hAnsi="Calibri"/>
          <w:szCs w:val="24"/>
        </w:rPr>
      </w:pPr>
    </w:p>
    <w:p w:rsidR="003F17A2" w:rsidRPr="00390F32" w:rsidRDefault="003F17A2" w:rsidP="00BD6245">
      <w:pPr>
        <w:spacing w:after="0"/>
        <w:rPr>
          <w:rFonts w:ascii="Calibri" w:hAnsi="Calibri"/>
          <w:szCs w:val="24"/>
        </w:rPr>
      </w:pPr>
      <w:r w:rsidRPr="00390F32">
        <w:rPr>
          <w:rFonts w:ascii="Calibri" w:hAnsi="Calibri"/>
          <w:szCs w:val="24"/>
        </w:rPr>
        <w:t xml:space="preserve">Further information is also available through the committee's website at </w:t>
      </w:r>
      <w:hyperlink r:id="rId39" w:history="1">
        <w:r w:rsidRPr="00DB5BC8">
          <w:rPr>
            <w:rStyle w:val="Hyperlink"/>
            <w:rFonts w:ascii="Calibri" w:hAnsi="Calibri"/>
            <w:szCs w:val="24"/>
          </w:rPr>
          <w:t>http://www.aph.gov.au/Parliamentary_Business/Committees/Senate_Committees?url=regord_ctte/index.htm</w:t>
        </w:r>
      </w:hyperlink>
      <w:r>
        <w:rPr>
          <w:rFonts w:ascii="Calibri" w:hAnsi="Calibri"/>
          <w:szCs w:val="24"/>
        </w:rPr>
        <w:t xml:space="preserve"> </w:t>
      </w:r>
      <w:r w:rsidRPr="00390F32">
        <w:rPr>
          <w:rFonts w:ascii="Calibri" w:hAnsi="Calibri"/>
          <w:szCs w:val="24"/>
        </w:rPr>
        <w:t>or by contacting the committee secretariat at:</w:t>
      </w:r>
    </w:p>
    <w:p w:rsidR="003F17A2" w:rsidRDefault="003F17A2" w:rsidP="00BD6245">
      <w:pPr>
        <w:spacing w:after="0"/>
        <w:rPr>
          <w:rFonts w:ascii="Calibri" w:hAnsi="Calibri"/>
          <w:szCs w:val="24"/>
        </w:rPr>
      </w:pPr>
    </w:p>
    <w:p w:rsidR="003F17A2" w:rsidRPr="00390F32" w:rsidRDefault="003F17A2" w:rsidP="00BD6245">
      <w:pPr>
        <w:spacing w:after="0"/>
        <w:rPr>
          <w:rFonts w:ascii="Calibri" w:hAnsi="Calibri"/>
          <w:szCs w:val="24"/>
        </w:rPr>
      </w:pPr>
      <w:r w:rsidRPr="00390F32">
        <w:rPr>
          <w:rFonts w:ascii="Calibri" w:hAnsi="Calibri"/>
          <w:szCs w:val="24"/>
        </w:rPr>
        <w:t>Committee Secretary</w:t>
      </w:r>
    </w:p>
    <w:p w:rsidR="003F17A2" w:rsidRPr="00390F32" w:rsidRDefault="003F17A2" w:rsidP="00BD6245">
      <w:pPr>
        <w:spacing w:after="0"/>
        <w:rPr>
          <w:rFonts w:ascii="Calibri" w:hAnsi="Calibri"/>
          <w:szCs w:val="24"/>
        </w:rPr>
      </w:pPr>
      <w:r w:rsidRPr="00390F32">
        <w:rPr>
          <w:rFonts w:ascii="Calibri" w:hAnsi="Calibri"/>
          <w:szCs w:val="24"/>
        </w:rPr>
        <w:t>Senate Regulations and Ordinances Committee</w:t>
      </w:r>
    </w:p>
    <w:p w:rsidR="003F17A2" w:rsidRPr="00390F32" w:rsidRDefault="003F17A2" w:rsidP="00BD6245">
      <w:pPr>
        <w:spacing w:after="0"/>
        <w:rPr>
          <w:rFonts w:ascii="Calibri" w:hAnsi="Calibri"/>
          <w:szCs w:val="24"/>
        </w:rPr>
      </w:pPr>
      <w:r w:rsidRPr="00390F32">
        <w:rPr>
          <w:rFonts w:ascii="Calibri" w:hAnsi="Calibri"/>
          <w:szCs w:val="24"/>
        </w:rPr>
        <w:t>PO Box 6100</w:t>
      </w:r>
    </w:p>
    <w:p w:rsidR="003F17A2" w:rsidRPr="00390F32" w:rsidRDefault="003F17A2" w:rsidP="00BD6245">
      <w:pPr>
        <w:spacing w:after="0"/>
        <w:rPr>
          <w:rFonts w:ascii="Calibri" w:hAnsi="Calibri"/>
          <w:szCs w:val="24"/>
        </w:rPr>
      </w:pPr>
      <w:r w:rsidRPr="00390F32">
        <w:rPr>
          <w:rFonts w:ascii="Calibri" w:hAnsi="Calibri"/>
          <w:szCs w:val="24"/>
        </w:rPr>
        <w:t>Parliament House</w:t>
      </w:r>
    </w:p>
    <w:p w:rsidR="003F17A2" w:rsidRPr="00390F32" w:rsidRDefault="003F17A2" w:rsidP="00BD6245">
      <w:pPr>
        <w:spacing w:after="0"/>
        <w:rPr>
          <w:rFonts w:ascii="Calibri" w:hAnsi="Calibri"/>
          <w:szCs w:val="24"/>
        </w:rPr>
      </w:pPr>
      <w:r w:rsidRPr="00390F32">
        <w:rPr>
          <w:rFonts w:ascii="Calibri" w:hAnsi="Calibri"/>
          <w:szCs w:val="24"/>
        </w:rPr>
        <w:t>Canberra ACT 2600</w:t>
      </w:r>
    </w:p>
    <w:p w:rsidR="003F17A2" w:rsidRPr="00390F32" w:rsidRDefault="003F17A2" w:rsidP="00BD6245">
      <w:pPr>
        <w:spacing w:after="0"/>
        <w:rPr>
          <w:rFonts w:ascii="Calibri" w:hAnsi="Calibri"/>
          <w:szCs w:val="24"/>
        </w:rPr>
      </w:pPr>
      <w:r w:rsidRPr="00390F32">
        <w:rPr>
          <w:rFonts w:ascii="Calibri" w:hAnsi="Calibri"/>
          <w:szCs w:val="24"/>
        </w:rPr>
        <w:t>Australia</w:t>
      </w:r>
    </w:p>
    <w:p w:rsidR="003F17A2" w:rsidRPr="00390F32" w:rsidRDefault="003F17A2" w:rsidP="00BD6245">
      <w:pPr>
        <w:spacing w:after="0"/>
        <w:rPr>
          <w:rFonts w:ascii="Calibri" w:hAnsi="Calibri"/>
          <w:szCs w:val="24"/>
        </w:rPr>
      </w:pPr>
    </w:p>
    <w:p w:rsidR="003F17A2" w:rsidRPr="00390F32" w:rsidRDefault="003F17A2" w:rsidP="00BD6245">
      <w:pPr>
        <w:spacing w:after="0"/>
        <w:rPr>
          <w:rFonts w:ascii="Calibri" w:hAnsi="Calibri"/>
          <w:szCs w:val="24"/>
        </w:rPr>
      </w:pPr>
      <w:r w:rsidRPr="00390F32">
        <w:rPr>
          <w:rFonts w:ascii="Calibri" w:hAnsi="Calibri"/>
          <w:szCs w:val="24"/>
        </w:rPr>
        <w:t xml:space="preserve">Phone: +61 2 6277 3066 </w:t>
      </w:r>
    </w:p>
    <w:p w:rsidR="003F17A2" w:rsidRPr="00390F32" w:rsidRDefault="003F17A2" w:rsidP="00BD6245">
      <w:pPr>
        <w:spacing w:after="0"/>
        <w:rPr>
          <w:rFonts w:ascii="Calibri" w:hAnsi="Calibri"/>
          <w:szCs w:val="24"/>
        </w:rPr>
      </w:pPr>
      <w:r w:rsidRPr="00390F32">
        <w:rPr>
          <w:rFonts w:ascii="Calibri" w:hAnsi="Calibri"/>
          <w:szCs w:val="24"/>
        </w:rPr>
        <w:t xml:space="preserve">Fax: +61 2 6277 5881 </w:t>
      </w:r>
    </w:p>
    <w:p w:rsidR="003F17A2" w:rsidRPr="00561AF0" w:rsidRDefault="003F17A2" w:rsidP="00BD6245">
      <w:pPr>
        <w:spacing w:after="0"/>
        <w:rPr>
          <w:rFonts w:ascii="Calibri" w:hAnsi="Calibri"/>
          <w:szCs w:val="24"/>
        </w:rPr>
      </w:pPr>
      <w:r w:rsidRPr="00390F32">
        <w:rPr>
          <w:rFonts w:ascii="Calibri" w:hAnsi="Calibri"/>
          <w:szCs w:val="24"/>
        </w:rPr>
        <w:t xml:space="preserve">Email: </w:t>
      </w:r>
      <w:hyperlink r:id="rId40" w:history="1">
        <w:r w:rsidRPr="00390F32">
          <w:rPr>
            <w:rStyle w:val="Hyperlink"/>
            <w:rFonts w:ascii="Calibri" w:hAnsi="Calibri"/>
            <w:szCs w:val="24"/>
          </w:rPr>
          <w:t>RegOrds.Sen@aph.gov.au</w:t>
        </w:r>
      </w:hyperlink>
    </w:p>
    <w:p w:rsidR="008702B8" w:rsidRDefault="008702B8" w:rsidP="00BD6245">
      <w:pPr>
        <w:pStyle w:val="Bullet1"/>
        <w:numPr>
          <w:ilvl w:val="0"/>
          <w:numId w:val="0"/>
        </w:numPr>
        <w:spacing w:after="0"/>
        <w:ind w:left="851" w:hanging="851"/>
      </w:pPr>
    </w:p>
    <w:sectPr w:rsidR="008702B8" w:rsidSect="003F17A2">
      <w:headerReference w:type="even" r:id="rId41"/>
      <w:headerReference w:type="default" r:id="rId42"/>
      <w:footerReference w:type="default" r:id="rId43"/>
      <w:pgSz w:w="11907" w:h="16840" w:code="9"/>
      <w:pgMar w:top="624" w:right="1361" w:bottom="1202" w:left="1361" w:header="720" w:footer="720" w:gutter="0"/>
      <w:paperSrc w:first="2" w:other="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34B5" w:rsidRDefault="00FE34B5">
      <w:r>
        <w:separator/>
      </w:r>
    </w:p>
  </w:endnote>
  <w:endnote w:type="continuationSeparator" w:id="0">
    <w:p w:rsidR="00FE34B5" w:rsidRDefault="00FE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encil">
    <w:panose1 w:val="040409050D0802020404"/>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W1)">
    <w:altName w:val="Times New Roman"/>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Palatino">
    <w:altName w:val="Book Antiqua"/>
    <w:panose1 w:val="00000000000000000000"/>
    <w:charset w:val="00"/>
    <w:family w:val="auto"/>
    <w:notTrueType/>
    <w:pitch w:val="variable"/>
    <w:sig w:usb0="00000003" w:usb1="00000000" w:usb2="00000000" w:usb3="00000000" w:csb0="00000001" w:csb1="00000000"/>
  </w:font>
  <w:font w:name="Frutiger 55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245" w:rsidRDefault="00BD6245" w:rsidP="001740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C070B">
      <w:rPr>
        <w:rStyle w:val="PageNumber"/>
        <w:noProof/>
      </w:rPr>
      <w:t>viii</w:t>
    </w:r>
    <w:r>
      <w:rPr>
        <w:rStyle w:val="PageNumber"/>
      </w:rPr>
      <w:fldChar w:fldCharType="end"/>
    </w:r>
  </w:p>
  <w:p w:rsidR="00BD6245" w:rsidRDefault="00BD6245">
    <w:pPr>
      <w:pStyle w:val="Footer"/>
      <w:tabs>
        <w:tab w:val="clear" w:pos="4153"/>
        <w:tab w:val="clear" w:pos="8306"/>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245" w:rsidRDefault="00BD6245">
    <w:pPr>
      <w:pStyle w:val="Footer"/>
      <w:tabs>
        <w:tab w:val="clear" w:pos="4153"/>
        <w:tab w:val="clear" w:pos="8306"/>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245" w:rsidRDefault="00BD6245">
    <w:pPr>
      <w:pStyle w:val="Footer"/>
      <w:tabs>
        <w:tab w:val="clear" w:pos="4153"/>
        <w:tab w:val="clear" w:pos="8306"/>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245" w:rsidRDefault="00BD6245">
    <w:pPr>
      <w:pStyle w:val="Footer"/>
      <w:tabs>
        <w:tab w:val="clear" w:pos="4153"/>
        <w:tab w:val="clear" w:pos="8306"/>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245" w:rsidRDefault="00BD6245">
    <w:pPr>
      <w:pStyle w:val="Footer"/>
      <w:tabs>
        <w:tab w:val="clear" w:pos="4153"/>
        <w:tab w:val="clear" w:pos="8306"/>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245" w:rsidRDefault="00BD6245">
    <w:pPr>
      <w:pStyle w:val="Footer"/>
      <w:tabs>
        <w:tab w:val="clear" w:pos="4153"/>
        <w:tab w:val="clear" w:pos="8306"/>
        <w:tab w:val="right" w:pos="9000"/>
      </w:tabs>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245" w:rsidRDefault="00BD6245">
    <w:pPr>
      <w:pStyle w:val="Footer"/>
      <w:jc w:val="right"/>
    </w:pPr>
  </w:p>
  <w:p w:rsidR="00BD6245" w:rsidRDefault="00BD62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245" w:rsidRDefault="00BD6245" w:rsidP="001740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C070B">
      <w:rPr>
        <w:rStyle w:val="PageNumber"/>
        <w:noProof/>
      </w:rPr>
      <w:t>vii</w:t>
    </w:r>
    <w:r>
      <w:rPr>
        <w:rStyle w:val="PageNumber"/>
      </w:rPr>
      <w:fldChar w:fldCharType="end"/>
    </w:r>
  </w:p>
  <w:p w:rsidR="00BD6245" w:rsidRDefault="00BD6245">
    <w:pPr>
      <w:pStyle w:val="Footer"/>
      <w:tabs>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245" w:rsidRDefault="00BD6245">
    <w:pPr>
      <w:pStyle w:val="Footer"/>
      <w:tabs>
        <w:tab w:val="clear" w:pos="4153"/>
        <w:tab w:val="clear" w:pos="8306"/>
        <w:tab w:val="right" w:pos="900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245" w:rsidRDefault="00BD6245">
    <w:pPr>
      <w:pStyle w:val="Footer"/>
      <w:tabs>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245" w:rsidRDefault="00BD6245">
    <w:pPr>
      <w:pStyle w:val="Footer"/>
      <w:tabs>
        <w:tab w:val="clear" w:pos="4153"/>
        <w:tab w:val="clear" w:pos="8306"/>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245" w:rsidRDefault="00BD6245">
    <w:pPr>
      <w:pStyle w:val="Footer"/>
      <w:tabs>
        <w:tab w:val="clear" w:pos="4153"/>
        <w:tab w:val="clear" w:pos="8306"/>
        <w:tab w:val="right" w:pos="9000"/>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245" w:rsidRDefault="00BD6245">
    <w:pPr>
      <w:pStyle w:val="Footer"/>
      <w:tabs>
        <w:tab w:val="clear" w:pos="4153"/>
        <w:tab w:val="clear" w:pos="8306"/>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245" w:rsidRDefault="00BD6245">
    <w:pPr>
      <w:pStyle w:val="Footer"/>
      <w:tabs>
        <w:tab w:val="clear" w:pos="4153"/>
        <w:tab w:val="clear" w:pos="8306"/>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245" w:rsidRDefault="00BD6245">
    <w:pPr>
      <w:pStyle w:val="Footer"/>
      <w:tabs>
        <w:tab w:val="clear" w:pos="4153"/>
        <w:tab w:val="clear" w:pos="8306"/>
        <w:tab w:val="right" w:pos="900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34B5" w:rsidRDefault="00FE34B5">
      <w:r>
        <w:separator/>
      </w:r>
    </w:p>
  </w:footnote>
  <w:footnote w:type="continuationSeparator" w:id="0">
    <w:p w:rsidR="00FE34B5" w:rsidRDefault="00FE34B5">
      <w:r>
        <w:continuationSeparator/>
      </w:r>
    </w:p>
  </w:footnote>
  <w:footnote w:id="1">
    <w:p w:rsidR="00BD6245" w:rsidRPr="00F61935" w:rsidRDefault="00BD6245" w:rsidP="008702B8">
      <w:pPr>
        <w:pStyle w:val="FootnoteText"/>
        <w:spacing w:after="120"/>
      </w:pPr>
      <w:r w:rsidRPr="00F61935">
        <w:rPr>
          <w:rStyle w:val="FootnoteReference"/>
          <w:vertAlign w:val="baseline"/>
        </w:rPr>
        <w:footnoteRef/>
      </w:r>
      <w:r w:rsidRPr="00F61935">
        <w:t xml:space="preserve"> </w:t>
      </w:r>
      <w:r>
        <w:tab/>
      </w:r>
      <w:r w:rsidRPr="00F61935">
        <w:t xml:space="preserve">Prior to 2013, the monitor provided only statistical and technical information on instruments scrutinised by the committee </w:t>
      </w:r>
      <w:r>
        <w:t xml:space="preserve">in </w:t>
      </w:r>
      <w:r w:rsidRPr="00F61935">
        <w:t>a given period or year.</w:t>
      </w:r>
      <w:r>
        <w:t xml:space="preserve"> This information is now most easily accessed via the authoritative Federal Register of Legislative Instruments (FRLI), at www.comlaw.gov.au.</w:t>
      </w:r>
    </w:p>
  </w:footnote>
  <w:footnote w:id="2">
    <w:p w:rsidR="00BD6245" w:rsidRPr="00ED4CC3" w:rsidRDefault="00BD6245" w:rsidP="008702B8">
      <w:pPr>
        <w:pStyle w:val="FootnoteText"/>
        <w:spacing w:after="120"/>
      </w:pPr>
      <w:r w:rsidRPr="00ED4CC3">
        <w:rPr>
          <w:rStyle w:val="FootnoteReference"/>
          <w:vertAlign w:val="baseline"/>
        </w:rPr>
        <w:footnoteRef/>
      </w:r>
      <w:r w:rsidRPr="00ED4CC3">
        <w:t xml:space="preserve"> </w:t>
      </w:r>
      <w:r>
        <w:tab/>
        <w:t xml:space="preserve">For further information on the disallowance process and the work of the committee see </w:t>
      </w:r>
      <w:r>
        <w:rPr>
          <w:i/>
        </w:rPr>
        <w:t>Odger's Australian Senate Practice</w:t>
      </w:r>
      <w:r>
        <w:t>, 13</w:t>
      </w:r>
      <w:r w:rsidRPr="006320C6">
        <w:rPr>
          <w:vertAlign w:val="superscript"/>
        </w:rPr>
        <w:t>th</w:t>
      </w:r>
      <w:r>
        <w:t xml:space="preserve"> Edition (2012), Chapter 15.</w:t>
      </w:r>
    </w:p>
  </w:footnote>
  <w:footnote w:id="3">
    <w:p w:rsidR="00BD6245" w:rsidRPr="00BC6E0D" w:rsidRDefault="00BD6245" w:rsidP="001E0AC1">
      <w:pPr>
        <w:pStyle w:val="FootnoteText"/>
        <w:spacing w:after="120"/>
      </w:pPr>
      <w:r w:rsidRPr="00BC6E0D">
        <w:rPr>
          <w:rStyle w:val="FootnoteReference"/>
          <w:vertAlign w:val="baseline"/>
        </w:rPr>
        <w:footnoteRef/>
      </w:r>
      <w:r w:rsidRPr="00BC6E0D">
        <w:t xml:space="preserve"> </w:t>
      </w:r>
      <w:r>
        <w:tab/>
        <w:t>'Last day to disallow' refers to the last day on which notice may be given of a motion for disallowance in the Senate.</w:t>
      </w:r>
    </w:p>
  </w:footnote>
  <w:footnote w:id="4">
    <w:p w:rsidR="00BD6245" w:rsidRPr="00940F8E" w:rsidRDefault="00BD6245" w:rsidP="001E0AC1">
      <w:pPr>
        <w:pStyle w:val="FootnoteText"/>
        <w:spacing w:after="120"/>
      </w:pPr>
      <w:r w:rsidRPr="00940F8E">
        <w:rPr>
          <w:rStyle w:val="FootnoteReference"/>
          <w:vertAlign w:val="baseline"/>
        </w:rPr>
        <w:footnoteRef/>
      </w:r>
      <w:r w:rsidRPr="00940F8E">
        <w:t xml:space="preserve"> </w:t>
      </w:r>
      <w:r>
        <w:tab/>
      </w:r>
      <w:r w:rsidRPr="00EC1A30">
        <w:t xml:space="preserve">The committee's guideline on addressing the consultation requirements of the </w:t>
      </w:r>
      <w:r w:rsidRPr="00EC1A30">
        <w:rPr>
          <w:i/>
        </w:rPr>
        <w:t>Legislative Instruments Act 2003</w:t>
      </w:r>
      <w:r w:rsidRPr="00EC1A30">
        <w:t xml:space="preserve"> is included at Appendix </w:t>
      </w:r>
      <w:r>
        <w:t>2</w:t>
      </w:r>
      <w:r w:rsidRPr="00EC1A30">
        <w:t>.</w:t>
      </w:r>
    </w:p>
  </w:footnote>
  <w:footnote w:id="5">
    <w:p w:rsidR="00BD6245" w:rsidRPr="006D266C" w:rsidRDefault="00BD6245" w:rsidP="001E0AC1">
      <w:pPr>
        <w:pStyle w:val="FootnoteText"/>
        <w:spacing w:after="120"/>
      </w:pPr>
      <w:r w:rsidRPr="006D266C">
        <w:rPr>
          <w:rStyle w:val="FootnoteReference"/>
          <w:vertAlign w:val="baseline"/>
        </w:rPr>
        <w:footnoteRef/>
      </w:r>
      <w:r w:rsidRPr="006D266C">
        <w:t xml:space="preserve"> </w:t>
      </w:r>
      <w:r>
        <w:tab/>
        <w:t>CASA EX03/13 - Exemption — recency requirements for night flying for F100 aircraft (Network Aviation Pty Ltd) [F2013L00068]; CASA EX04/13 - Exemption — recency requirements for night flying for Embraer 120 aircraft (Network Aviation Pty Ltd) [F2013L00069]; and Civil Aviation Order 20.18 Amendment Instrument 2013 (No. 1) [F2013L00070].</w:t>
      </w:r>
    </w:p>
  </w:footnote>
  <w:footnote w:id="6">
    <w:p w:rsidR="00BD6245" w:rsidRPr="00476849" w:rsidRDefault="00BD6245" w:rsidP="00EC5913">
      <w:pPr>
        <w:pStyle w:val="FootnoteText"/>
        <w:spacing w:after="120"/>
      </w:pPr>
      <w:r w:rsidRPr="00476849">
        <w:rPr>
          <w:rStyle w:val="FootnoteReference"/>
          <w:vertAlign w:val="baseline"/>
        </w:rPr>
        <w:footnoteRef/>
      </w:r>
      <w:r w:rsidRPr="00476849">
        <w:t xml:space="preserve"> </w:t>
      </w:r>
      <w:r>
        <w:tab/>
        <w:t>FRLI is found online at http://www.comlaw.gov.au/.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245" w:rsidRDefault="00BD6245">
    <w:pPr>
      <w:pStyle w:val="Header"/>
      <w:tabs>
        <w:tab w:val="clear" w:pos="8306"/>
        <w:tab w:val="right" w:pos="9000"/>
      </w:tabs>
    </w:pPr>
    <w:r>
      <w:tab/>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245" w:rsidRDefault="00BD6245">
    <w:pPr>
      <w:pStyle w:val="Header"/>
      <w:tabs>
        <w:tab w:val="clear" w:pos="8306"/>
        <w:tab w:val="right" w:pos="9000"/>
      </w:tabs>
    </w:pPr>
    <w:r>
      <w:tab/>
      <w:t>119</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245" w:rsidRPr="00F710D5" w:rsidRDefault="00BD6245" w:rsidP="00514A39">
    <w:pPr>
      <w:pStyle w:val="Header"/>
      <w:tabs>
        <w:tab w:val="clear" w:pos="8306"/>
        <w:tab w:val="right" w:pos="9000"/>
      </w:tabs>
    </w:pPr>
    <w:r>
      <w:tab/>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245" w:rsidRDefault="00BD6245">
    <w:pPr>
      <w:pStyle w:val="Header"/>
      <w:pBdr>
        <w:bottom w:val="single" w:sz="4" w:space="1" w:color="auto"/>
      </w:pBdr>
      <w:tabs>
        <w:tab w:val="clear" w:pos="8306"/>
        <w:tab w:val="right" w:pos="9000"/>
      </w:tabs>
    </w:pPr>
    <w:r>
      <w:tab/>
    </w:r>
    <w:r>
      <w:fldChar w:fldCharType="begin"/>
    </w:r>
    <w:r>
      <w:instrText xml:space="preserve"> PAGE </w:instrText>
    </w:r>
    <w:r>
      <w:fldChar w:fldCharType="separate"/>
    </w:r>
    <w:r>
      <w:rPr>
        <w:noProof/>
      </w:rPr>
      <w:t>135</w:t>
    </w:r>
    <w:r>
      <w:rPr>
        <w:noProof/>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245" w:rsidRDefault="00BD6245">
    <w:pPr>
      <w:pStyle w:val="Header"/>
      <w:tabs>
        <w:tab w:val="clear" w:pos="8306"/>
        <w:tab w:val="right" w:pos="9000"/>
      </w:tabs>
    </w:pPr>
    <w:r>
      <w:tab/>
      <w:t>133</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EE8" w:rsidRPr="00F710D5" w:rsidRDefault="00167EE8" w:rsidP="00167EE8">
    <w:pPr>
      <w:pStyle w:val="Header"/>
      <w:tabs>
        <w:tab w:val="clear" w:pos="8306"/>
        <w:tab w:val="right" w:pos="9000"/>
      </w:tabs>
    </w:pPr>
    <w:r>
      <w:tab/>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245" w:rsidRDefault="00BD6245" w:rsidP="003F17A2">
    <w:pPr>
      <w:pStyle w:val="Header"/>
      <w:tabs>
        <w:tab w:val="clear" w:pos="8306"/>
        <w:tab w:val="right" w:pos="9000"/>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245" w:rsidRPr="00F710D5" w:rsidRDefault="00BD6245">
    <w:pPr>
      <w:pStyle w:val="Header"/>
      <w:pBdr>
        <w:bottom w:val="single" w:sz="4" w:space="1" w:color="auto"/>
      </w:pBdr>
      <w:tabs>
        <w:tab w:val="clear" w:pos="8306"/>
        <w:tab w:val="right" w:pos="9000"/>
      </w:tabs>
    </w:pPr>
    <w:r>
      <w:fldChar w:fldCharType="begin"/>
    </w:r>
    <w:r>
      <w:instrText xml:space="preserve"> PAGE </w:instrText>
    </w:r>
    <w:r>
      <w:fldChar w:fldCharType="separate"/>
    </w:r>
    <w:r w:rsidR="00DC070B">
      <w:rPr>
        <w:noProof/>
      </w:rPr>
      <w:t>114</w:t>
    </w:r>
    <w:r>
      <w:rPr>
        <w:noProof/>
      </w:rPr>
      <w:fldChar w:fldCharType="end"/>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245" w:rsidRDefault="00BD6245">
    <w:pPr>
      <w:pStyle w:val="Header"/>
      <w:pBdr>
        <w:bottom w:val="single" w:sz="4" w:space="1" w:color="auto"/>
      </w:pBdr>
      <w:tabs>
        <w:tab w:val="clear" w:pos="8306"/>
        <w:tab w:val="right" w:pos="9000"/>
      </w:tabs>
    </w:pPr>
    <w:r>
      <w:tab/>
    </w:r>
    <w:r>
      <w:fldChar w:fldCharType="begin"/>
    </w:r>
    <w:r>
      <w:instrText xml:space="preserve"> PAGE </w:instrText>
    </w:r>
    <w:r>
      <w:fldChar w:fldCharType="separate"/>
    </w:r>
    <w:r w:rsidR="00DC070B">
      <w:rPr>
        <w:noProof/>
      </w:rPr>
      <w:t>115</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245" w:rsidRDefault="00BD6245">
    <w:pPr>
      <w:pStyle w:val="Header"/>
      <w:tabs>
        <w:tab w:val="clear" w:pos="8306"/>
        <w:tab w:val="right" w:pos="9000"/>
      </w:tabs>
    </w:pPr>
    <w:r>
      <w:tab/>
    </w:r>
    <w:r>
      <w:fldChar w:fldCharType="begin"/>
    </w:r>
    <w:r>
      <w:instrText xml:space="preserve"> PAGE </w:instrText>
    </w:r>
    <w:r>
      <w:fldChar w:fldCharType="separate"/>
    </w:r>
    <w:r w:rsidR="00DC070B">
      <w:rPr>
        <w:noProof/>
      </w:rPr>
      <w:t>95</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245" w:rsidRPr="00F710D5" w:rsidRDefault="00BD6245">
    <w:pPr>
      <w:pStyle w:val="Header"/>
      <w:pBdr>
        <w:bottom w:val="single" w:sz="4" w:space="1" w:color="auto"/>
      </w:pBdr>
      <w:tabs>
        <w:tab w:val="clear" w:pos="8306"/>
        <w:tab w:val="right" w:pos="9000"/>
      </w:tabs>
    </w:pPr>
    <w:r>
      <w:fldChar w:fldCharType="begin"/>
    </w:r>
    <w:r>
      <w:instrText xml:space="preserve"> PAGE </w:instrText>
    </w:r>
    <w:r>
      <w:fldChar w:fldCharType="separate"/>
    </w:r>
    <w:r w:rsidR="000A2EBF">
      <w:rPr>
        <w:noProof/>
      </w:rPr>
      <w:t>118</w:t>
    </w:r>
    <w:r>
      <w:rPr>
        <w:noProof/>
      </w:rPr>
      <w:fldChar w:fldCharType="end"/>
    </w: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245" w:rsidRDefault="00BD6245">
    <w:pPr>
      <w:pStyle w:val="Header"/>
      <w:pBdr>
        <w:bottom w:val="single" w:sz="4" w:space="1" w:color="auto"/>
      </w:pBdr>
      <w:tabs>
        <w:tab w:val="clear" w:pos="8306"/>
        <w:tab w:val="right" w:pos="9000"/>
      </w:tabs>
    </w:pPr>
    <w:r>
      <w:tab/>
    </w:r>
    <w:r>
      <w:fldChar w:fldCharType="begin"/>
    </w:r>
    <w:r>
      <w:instrText xml:space="preserve"> PAGE </w:instrText>
    </w:r>
    <w:r>
      <w:fldChar w:fldCharType="separate"/>
    </w:r>
    <w:r>
      <w:rPr>
        <w:noProof/>
      </w:rPr>
      <w:t>17</w:t>
    </w:r>
    <w:r>
      <w:rPr>
        <w:noProof/>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245" w:rsidRDefault="00BD6245">
    <w:pPr>
      <w:pStyle w:val="Header"/>
      <w:tabs>
        <w:tab w:val="clear" w:pos="8306"/>
        <w:tab w:val="right" w:pos="9000"/>
      </w:tabs>
    </w:pPr>
    <w:r>
      <w:tab/>
      <w:t>117</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245" w:rsidRPr="00F710D5" w:rsidRDefault="00BD6245">
    <w:pPr>
      <w:pStyle w:val="Header"/>
      <w:pBdr>
        <w:bottom w:val="single" w:sz="4" w:space="1" w:color="auto"/>
      </w:pBdr>
      <w:tabs>
        <w:tab w:val="clear" w:pos="8306"/>
        <w:tab w:val="right" w:pos="9000"/>
      </w:tabs>
    </w:pPr>
    <w:r>
      <w:fldChar w:fldCharType="begin"/>
    </w:r>
    <w:r>
      <w:instrText xml:space="preserve"> PAGE </w:instrText>
    </w:r>
    <w:r>
      <w:fldChar w:fldCharType="separate"/>
    </w:r>
    <w:r w:rsidR="00DC070B">
      <w:rPr>
        <w:noProof/>
      </w:rPr>
      <w:t>132</w:t>
    </w:r>
    <w:r>
      <w:rPr>
        <w:noProof/>
      </w:rPr>
      <w:fldChar w:fldCharType="end"/>
    </w:r>
    <w:r>
      <w:tab/>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245" w:rsidRDefault="00BD6245">
    <w:pPr>
      <w:pStyle w:val="Header"/>
      <w:pBdr>
        <w:bottom w:val="single" w:sz="4" w:space="1" w:color="auto"/>
      </w:pBdr>
      <w:tabs>
        <w:tab w:val="clear" w:pos="8306"/>
        <w:tab w:val="right" w:pos="9000"/>
      </w:tabs>
    </w:pPr>
    <w:r>
      <w:tab/>
    </w:r>
    <w:r>
      <w:fldChar w:fldCharType="begin"/>
    </w:r>
    <w:r>
      <w:instrText xml:space="preserve"> PAGE </w:instrText>
    </w:r>
    <w:r>
      <w:fldChar w:fldCharType="separate"/>
    </w:r>
    <w:r w:rsidR="00DC070B">
      <w:rPr>
        <w:noProof/>
      </w:rPr>
      <w:t>131</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2E5AC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7E1801B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6349106"/>
    <w:lvl w:ilvl="0">
      <w:start w:val="1"/>
      <w:numFmt w:val="decimal"/>
      <w:pStyle w:val="ListNumber3"/>
      <w:lvlText w:val="%1."/>
      <w:lvlJc w:val="left"/>
      <w:pPr>
        <w:tabs>
          <w:tab w:val="num" w:pos="926"/>
        </w:tabs>
        <w:ind w:left="926" w:hanging="360"/>
      </w:pPr>
    </w:lvl>
  </w:abstractNum>
  <w:abstractNum w:abstractNumId="3">
    <w:nsid w:val="FFFFFF7F"/>
    <w:multiLevelType w:val="singleLevel"/>
    <w:tmpl w:val="0178DB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C510917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93AEEA3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D80D43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3C307AD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8D3A8B68"/>
    <w:lvl w:ilvl="0">
      <w:start w:val="1"/>
      <w:numFmt w:val="decimal"/>
      <w:pStyle w:val="ListNumber"/>
      <w:lvlText w:val="%1."/>
      <w:lvlJc w:val="left"/>
      <w:pPr>
        <w:tabs>
          <w:tab w:val="num" w:pos="360"/>
        </w:tabs>
        <w:ind w:left="360" w:hanging="360"/>
      </w:pPr>
    </w:lvl>
  </w:abstractNum>
  <w:abstractNum w:abstractNumId="9">
    <w:nsid w:val="FFFFFF89"/>
    <w:multiLevelType w:val="singleLevel"/>
    <w:tmpl w:val="44CE294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BC5F38"/>
    <w:multiLevelType w:val="singleLevel"/>
    <w:tmpl w:val="C34277B6"/>
    <w:name w:val="Recommendations"/>
    <w:lvl w:ilvl="0">
      <w:start w:val="1"/>
      <w:numFmt w:val="decimal"/>
      <w:lvlText w:val="%1"/>
      <w:lvlJc w:val="left"/>
      <w:pPr>
        <w:tabs>
          <w:tab w:val="num" w:pos="360"/>
        </w:tabs>
        <w:ind w:left="360" w:hanging="360"/>
      </w:pPr>
    </w:lvl>
  </w:abstractNum>
  <w:abstractNum w:abstractNumId="11">
    <w:nsid w:val="055A7C48"/>
    <w:multiLevelType w:val="hybridMultilevel"/>
    <w:tmpl w:val="362EF4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1ADB67D3"/>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C191FF8"/>
    <w:multiLevelType w:val="hybridMultilevel"/>
    <w:tmpl w:val="60B431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Times New Roman" w:hint="default"/>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4">
    <w:nsid w:val="202017D9"/>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0353693"/>
    <w:multiLevelType w:val="multilevel"/>
    <w:tmpl w:val="182830E8"/>
    <w:lvl w:ilvl="0">
      <w:start w:val="1"/>
      <w:numFmt w:val="decimal"/>
      <w:pStyle w:val="Level1"/>
      <w:lvlText w:val="1.%1"/>
      <w:lvlJc w:val="left"/>
      <w:pPr>
        <w:tabs>
          <w:tab w:val="num" w:pos="850"/>
        </w:tabs>
        <w:ind w:left="0" w:firstLine="0"/>
      </w:pPr>
    </w:lvl>
    <w:lvl w:ilvl="1">
      <w:start w:val="1"/>
      <w:numFmt w:val="lowerLetter"/>
      <w:pStyle w:val="Level2"/>
      <w:lvlText w:val="(%2)"/>
      <w:lvlJc w:val="left"/>
      <w:pPr>
        <w:tabs>
          <w:tab w:val="num" w:pos="1417"/>
        </w:tabs>
        <w:ind w:left="1417" w:hanging="567"/>
      </w:pPr>
    </w:lvl>
    <w:lvl w:ilvl="2">
      <w:start w:val="1"/>
      <w:numFmt w:val="lowerRoman"/>
      <w:pStyle w:val="Level3"/>
      <w:lvlText w:val="(%3)"/>
      <w:lvlJc w:val="left"/>
      <w:pPr>
        <w:tabs>
          <w:tab w:val="num" w:pos="1984"/>
        </w:tabs>
        <w:ind w:left="1984" w:hanging="567"/>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6">
    <w:nsid w:val="21EA593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23B87646"/>
    <w:multiLevelType w:val="singleLevel"/>
    <w:tmpl w:val="807C9A06"/>
    <w:lvl w:ilvl="0">
      <w:start w:val="1"/>
      <w:numFmt w:val="bullet"/>
      <w:pStyle w:val="Bullet2"/>
      <w:lvlText w:val=""/>
      <w:lvlJc w:val="left"/>
      <w:pPr>
        <w:tabs>
          <w:tab w:val="num" w:pos="1134"/>
        </w:tabs>
        <w:ind w:left="1134" w:hanging="567"/>
      </w:pPr>
      <w:rPr>
        <w:rFonts w:ascii="Symbol" w:hAnsi="Symbol" w:hint="default"/>
        <w:color w:val="auto"/>
        <w:sz w:val="20"/>
      </w:rPr>
    </w:lvl>
  </w:abstractNum>
  <w:abstractNum w:abstractNumId="18">
    <w:nsid w:val="26792033"/>
    <w:multiLevelType w:val="multilevel"/>
    <w:tmpl w:val="EBDA910C"/>
    <w:lvl w:ilvl="0">
      <w:start w:val="1"/>
      <w:numFmt w:val="decimal"/>
      <w:pStyle w:val="Level3"/>
      <w:lvlText w:val="1.%1"/>
      <w:lvlJc w:val="left"/>
      <w:pPr>
        <w:tabs>
          <w:tab w:val="num" w:pos="283"/>
        </w:tabs>
        <w:ind w:left="-567" w:firstLine="0"/>
      </w:pPr>
      <w:rPr>
        <w:rFonts w:hint="default"/>
      </w:rPr>
    </w:lvl>
    <w:lvl w:ilvl="1">
      <w:start w:val="1"/>
      <w:numFmt w:val="lowerLetter"/>
      <w:lvlText w:val="(%2)"/>
      <w:lvlJc w:val="left"/>
      <w:pPr>
        <w:tabs>
          <w:tab w:val="num" w:pos="1134"/>
        </w:tabs>
        <w:ind w:left="283" w:firstLine="0"/>
      </w:pPr>
      <w:rPr>
        <w:rFonts w:hint="default"/>
      </w:rPr>
    </w:lvl>
    <w:lvl w:ilvl="2">
      <w:start w:val="1"/>
      <w:numFmt w:val="lowerRoman"/>
      <w:lvlText w:val="(%3)"/>
      <w:lvlJc w:val="left"/>
      <w:pPr>
        <w:tabs>
          <w:tab w:val="num" w:pos="1984"/>
        </w:tabs>
        <w:ind w:left="1134" w:firstLine="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9">
    <w:nsid w:val="2869769B"/>
    <w:multiLevelType w:val="hybridMultilevel"/>
    <w:tmpl w:val="CE4CDA8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0">
    <w:nsid w:val="2CC94E2D"/>
    <w:multiLevelType w:val="singleLevel"/>
    <w:tmpl w:val="0B9CBC52"/>
    <w:lvl w:ilvl="0">
      <w:start w:val="3"/>
      <w:numFmt w:val="bullet"/>
      <w:pStyle w:val="Bullet4"/>
      <w:lvlText w:val="-"/>
      <w:lvlJc w:val="left"/>
      <w:pPr>
        <w:tabs>
          <w:tab w:val="num" w:pos="1701"/>
        </w:tabs>
        <w:ind w:left="1701" w:hanging="567"/>
      </w:pPr>
      <w:rPr>
        <w:rFonts w:ascii="Times New Roman" w:eastAsia="Times New Roman" w:hAnsi="Times New Roman" w:cs="Times New Roman" w:hint="default"/>
        <w:sz w:val="20"/>
      </w:rPr>
    </w:lvl>
  </w:abstractNum>
  <w:abstractNum w:abstractNumId="21">
    <w:nsid w:val="2FB975B4"/>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333C461D"/>
    <w:multiLevelType w:val="hybridMultilevel"/>
    <w:tmpl w:val="AFAC0CCE"/>
    <w:lvl w:ilvl="0" w:tplc="CC36CEE4">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38D3446A"/>
    <w:multiLevelType w:val="multilevel"/>
    <w:tmpl w:val="A8927DE8"/>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701"/>
        </w:tabs>
        <w:ind w:left="1701" w:hanging="851"/>
      </w:pPr>
      <w:rPr>
        <w:rFonts w:hint="default"/>
      </w:rPr>
    </w:lvl>
    <w:lvl w:ilvl="2">
      <w:start w:val="1"/>
      <w:numFmt w:val="lowerRoman"/>
      <w:lvlText w:val="%3)"/>
      <w:lvlJc w:val="left"/>
      <w:pPr>
        <w:tabs>
          <w:tab w:val="num" w:pos="2551"/>
        </w:tabs>
        <w:ind w:left="2551" w:hanging="85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4">
    <w:nsid w:val="3FFA0B3D"/>
    <w:multiLevelType w:val="multilevel"/>
    <w:tmpl w:val="D67E2438"/>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5">
    <w:nsid w:val="40427213"/>
    <w:multiLevelType w:val="hybridMultilevel"/>
    <w:tmpl w:val="9940CB4C"/>
    <w:lvl w:ilvl="0" w:tplc="384ADC30">
      <w:start w:val="1"/>
      <w:numFmt w:val="decimal"/>
      <w:lvlText w:val="%1."/>
      <w:lvlJc w:val="left"/>
      <w:pPr>
        <w:ind w:left="502"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4EC220F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4F287D5F"/>
    <w:multiLevelType w:val="multilevel"/>
    <w:tmpl w:val="9BAA66BC"/>
    <w:lvl w:ilvl="0">
      <w:start w:val="1"/>
      <w:numFmt w:val="decimal"/>
      <w:lvlText w:val="1.%1"/>
      <w:lvlJc w:val="left"/>
      <w:pPr>
        <w:tabs>
          <w:tab w:val="num" w:pos="850"/>
        </w:tabs>
        <w:ind w:left="0" w:firstLine="0"/>
      </w:pPr>
    </w:lvl>
    <w:lvl w:ilvl="1">
      <w:start w:val="1"/>
      <w:numFmt w:val="lowerLetter"/>
      <w:lvlText w:val="(%2)"/>
      <w:lvlJc w:val="left"/>
      <w:pPr>
        <w:tabs>
          <w:tab w:val="num" w:pos="1417"/>
        </w:tabs>
        <w:ind w:left="1417" w:hanging="567"/>
      </w:pPr>
    </w:lvl>
    <w:lvl w:ilvl="2">
      <w:start w:val="1"/>
      <w:numFmt w:val="lowerRoman"/>
      <w:lvlText w:val="(%3)"/>
      <w:lvlJc w:val="left"/>
      <w:pPr>
        <w:tabs>
          <w:tab w:val="num" w:pos="1984"/>
        </w:tabs>
        <w:ind w:left="1984" w:hanging="567"/>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nsid w:val="5D2D588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9">
    <w:nsid w:val="63D2471F"/>
    <w:multiLevelType w:val="multilevel"/>
    <w:tmpl w:val="F8EC08A8"/>
    <w:lvl w:ilvl="0">
      <w:start w:val="1"/>
      <w:numFmt w:val="decimal"/>
      <w:pStyle w:val="Level1"/>
      <w:lvlText w:val="99.%1"/>
      <w:lvlJc w:val="left"/>
      <w:pPr>
        <w:tabs>
          <w:tab w:val="num" w:pos="850"/>
        </w:tabs>
        <w:ind w:left="0" w:firstLine="0"/>
      </w:pPr>
      <w:rPr>
        <w:rFonts w:hint="default"/>
        <w:b w:val="0"/>
        <w:sz w:val="20"/>
      </w:rPr>
    </w:lvl>
    <w:lvl w:ilvl="1">
      <w:start w:val="1"/>
      <w:numFmt w:val="lowerLetter"/>
      <w:pStyle w:val="Level2"/>
      <w:lvlText w:val="(%2)"/>
      <w:lvlJc w:val="left"/>
      <w:pPr>
        <w:tabs>
          <w:tab w:val="num" w:pos="1417"/>
        </w:tabs>
        <w:ind w:left="1417" w:hanging="567"/>
      </w:pPr>
      <w:rPr>
        <w:rFonts w:hint="default"/>
        <w:sz w:val="20"/>
      </w:rPr>
    </w:lvl>
    <w:lvl w:ilvl="2">
      <w:start w:val="1"/>
      <w:numFmt w:val="lowerRoman"/>
      <w:pStyle w:val="Level3"/>
      <w:lvlText w:val="(%3)"/>
      <w:lvlJc w:val="left"/>
      <w:pPr>
        <w:tabs>
          <w:tab w:val="num" w:pos="1984"/>
        </w:tabs>
        <w:ind w:left="1984" w:hanging="567"/>
      </w:pPr>
      <w:rPr>
        <w:rFonts w:hint="default"/>
        <w:sz w:val="20"/>
      </w:rPr>
    </w:lvl>
    <w:lvl w:ilvl="3">
      <w:start w:val="1"/>
      <w:numFmt w:val="none"/>
      <w:pStyle w:val="Heading4"/>
      <w:suff w:val="nothing"/>
      <w:lvlText w:val=""/>
      <w:lvlJc w:val="left"/>
      <w:pPr>
        <w:ind w:left="0" w:firstLine="0"/>
      </w:pPr>
      <w:rPr>
        <w:rFonts w:hint="default"/>
        <w:b/>
        <w:i w:val="0"/>
        <w:sz w:val="40"/>
      </w:rPr>
    </w:lvl>
    <w:lvl w:ilvl="4">
      <w:start w:val="1"/>
      <w:numFmt w:val="none"/>
      <w:pStyle w:val="Heading5"/>
      <w:suff w:val="nothing"/>
      <w:lvlText w:val=""/>
      <w:lvlJc w:val="left"/>
      <w:pPr>
        <w:ind w:left="0" w:firstLine="0"/>
      </w:pPr>
      <w:rPr>
        <w:rFonts w:hint="default"/>
        <w:sz w:val="20"/>
      </w:rPr>
    </w:lvl>
    <w:lvl w:ilvl="5">
      <w:start w:val="1"/>
      <w:numFmt w:val="none"/>
      <w:pStyle w:val="Heading6"/>
      <w:suff w:val="nothing"/>
      <w:lvlText w:val=""/>
      <w:lvlJc w:val="left"/>
      <w:pPr>
        <w:ind w:left="0" w:firstLine="0"/>
      </w:pPr>
      <w:rPr>
        <w:rFonts w:hint="default"/>
        <w:sz w:val="20"/>
      </w:rPr>
    </w:lvl>
    <w:lvl w:ilvl="6">
      <w:start w:val="1"/>
      <w:numFmt w:val="none"/>
      <w:pStyle w:val="Heading7"/>
      <w:suff w:val="nothing"/>
      <w:lvlText w:val=""/>
      <w:lvlJc w:val="left"/>
      <w:pPr>
        <w:ind w:left="0" w:firstLine="0"/>
      </w:pPr>
      <w:rPr>
        <w:rFonts w:hint="default"/>
        <w:sz w:val="20"/>
      </w:rPr>
    </w:lvl>
    <w:lvl w:ilvl="7">
      <w:start w:val="1"/>
      <w:numFmt w:val="none"/>
      <w:pStyle w:val="Heading8"/>
      <w:suff w:val="nothing"/>
      <w:lvlText w:val=""/>
      <w:lvlJc w:val="left"/>
      <w:pPr>
        <w:ind w:left="0" w:firstLine="0"/>
      </w:pPr>
      <w:rPr>
        <w:rFonts w:hint="default"/>
        <w:sz w:val="20"/>
      </w:rPr>
    </w:lvl>
    <w:lvl w:ilvl="8">
      <w:start w:val="1"/>
      <w:numFmt w:val="none"/>
      <w:pStyle w:val="Heading9"/>
      <w:suff w:val="nothing"/>
      <w:lvlText w:val=""/>
      <w:lvlJc w:val="left"/>
      <w:pPr>
        <w:ind w:left="0" w:firstLine="0"/>
      </w:pPr>
      <w:rPr>
        <w:rFonts w:hint="default"/>
        <w:sz w:val="20"/>
      </w:rPr>
    </w:lvl>
  </w:abstractNum>
  <w:abstractNum w:abstractNumId="30">
    <w:nsid w:val="6B404A55"/>
    <w:multiLevelType w:val="multilevel"/>
    <w:tmpl w:val="2F38C578"/>
    <w:lvl w:ilvl="0">
      <w:start w:val="1"/>
      <w:numFmt w:val="decimal"/>
      <w:lvlText w:val="23.%1"/>
      <w:lvlJc w:val="left"/>
      <w:pPr>
        <w:tabs>
          <w:tab w:val="num" w:pos="850"/>
        </w:tabs>
        <w:ind w:left="0" w:firstLine="0"/>
      </w:pPr>
      <w:rPr>
        <w:rFonts w:hint="default"/>
      </w:rPr>
    </w:lvl>
    <w:lvl w:ilvl="1">
      <w:start w:val="1"/>
      <w:numFmt w:val="lowerLetter"/>
      <w:lvlText w:val="%2)"/>
      <w:lvlJc w:val="left"/>
      <w:pPr>
        <w:tabs>
          <w:tab w:val="num" w:pos="1701"/>
        </w:tabs>
        <w:ind w:left="1701" w:hanging="851"/>
      </w:pPr>
      <w:rPr>
        <w:rFonts w:hint="default"/>
      </w:rPr>
    </w:lvl>
    <w:lvl w:ilvl="2">
      <w:start w:val="1"/>
      <w:numFmt w:val="lowerRoman"/>
      <w:lvlText w:val="%3)"/>
      <w:lvlJc w:val="left"/>
      <w:pPr>
        <w:tabs>
          <w:tab w:val="num" w:pos="2551"/>
        </w:tabs>
        <w:ind w:left="2551" w:hanging="85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31">
    <w:nsid w:val="72E229ED"/>
    <w:multiLevelType w:val="hybridMultilevel"/>
    <w:tmpl w:val="EC1C8F66"/>
    <w:lvl w:ilvl="0" w:tplc="8294EB64">
      <w:start w:val="1"/>
      <w:numFmt w:val="decimal"/>
      <w:lvlText w:val="%1."/>
      <w:lvlJc w:val="left"/>
      <w:pPr>
        <w:ind w:left="1215" w:hanging="85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7C9B222F"/>
    <w:multiLevelType w:val="hybridMultilevel"/>
    <w:tmpl w:val="46EAF91C"/>
    <w:lvl w:ilvl="0" w:tplc="A9AEFD4E">
      <w:start w:val="1"/>
      <w:numFmt w:val="bullet"/>
      <w:pStyle w:val="Bullet3"/>
      <w:lvlText w:val=""/>
      <w:lvlJc w:val="left"/>
      <w:pPr>
        <w:tabs>
          <w:tab w:val="num" w:pos="1701"/>
        </w:tabs>
        <w:ind w:left="1701" w:hanging="567"/>
      </w:pPr>
      <w:rPr>
        <w:rFonts w:ascii="Symbol" w:hAnsi="Symbol" w:hint="default"/>
        <w:color w:val="auto"/>
        <w:sz w:val="20"/>
      </w:rPr>
    </w:lvl>
    <w:lvl w:ilvl="1" w:tplc="0C090003" w:tentative="1">
      <w:start w:val="1"/>
      <w:numFmt w:val="bullet"/>
      <w:lvlText w:val="o"/>
      <w:lvlJc w:val="left"/>
      <w:pPr>
        <w:tabs>
          <w:tab w:val="num" w:pos="2574"/>
        </w:tabs>
        <w:ind w:left="2574" w:hanging="360"/>
      </w:pPr>
      <w:rPr>
        <w:rFonts w:ascii="Courier New" w:hAnsi="Courier New" w:cs="Courier New" w:hint="default"/>
      </w:rPr>
    </w:lvl>
    <w:lvl w:ilvl="2" w:tplc="0C090005" w:tentative="1">
      <w:start w:val="1"/>
      <w:numFmt w:val="bullet"/>
      <w:lvlText w:val=""/>
      <w:lvlJc w:val="left"/>
      <w:pPr>
        <w:tabs>
          <w:tab w:val="num" w:pos="3294"/>
        </w:tabs>
        <w:ind w:left="3294" w:hanging="360"/>
      </w:pPr>
      <w:rPr>
        <w:rFonts w:ascii="Wingdings" w:hAnsi="Wingdings" w:hint="default"/>
      </w:rPr>
    </w:lvl>
    <w:lvl w:ilvl="3" w:tplc="0C090001" w:tentative="1">
      <w:start w:val="1"/>
      <w:numFmt w:val="bullet"/>
      <w:lvlText w:val=""/>
      <w:lvlJc w:val="left"/>
      <w:pPr>
        <w:tabs>
          <w:tab w:val="num" w:pos="4014"/>
        </w:tabs>
        <w:ind w:left="4014" w:hanging="360"/>
      </w:pPr>
      <w:rPr>
        <w:rFonts w:ascii="Symbol" w:hAnsi="Symbol" w:hint="default"/>
      </w:rPr>
    </w:lvl>
    <w:lvl w:ilvl="4" w:tplc="0C090003" w:tentative="1">
      <w:start w:val="1"/>
      <w:numFmt w:val="bullet"/>
      <w:lvlText w:val="o"/>
      <w:lvlJc w:val="left"/>
      <w:pPr>
        <w:tabs>
          <w:tab w:val="num" w:pos="4734"/>
        </w:tabs>
        <w:ind w:left="4734" w:hanging="360"/>
      </w:pPr>
      <w:rPr>
        <w:rFonts w:ascii="Courier New" w:hAnsi="Courier New" w:cs="Courier New" w:hint="default"/>
      </w:rPr>
    </w:lvl>
    <w:lvl w:ilvl="5" w:tplc="0C090005" w:tentative="1">
      <w:start w:val="1"/>
      <w:numFmt w:val="bullet"/>
      <w:lvlText w:val=""/>
      <w:lvlJc w:val="left"/>
      <w:pPr>
        <w:tabs>
          <w:tab w:val="num" w:pos="5454"/>
        </w:tabs>
        <w:ind w:left="5454" w:hanging="360"/>
      </w:pPr>
      <w:rPr>
        <w:rFonts w:ascii="Wingdings" w:hAnsi="Wingdings" w:hint="default"/>
      </w:rPr>
    </w:lvl>
    <w:lvl w:ilvl="6" w:tplc="0C090001" w:tentative="1">
      <w:start w:val="1"/>
      <w:numFmt w:val="bullet"/>
      <w:lvlText w:val=""/>
      <w:lvlJc w:val="left"/>
      <w:pPr>
        <w:tabs>
          <w:tab w:val="num" w:pos="6174"/>
        </w:tabs>
        <w:ind w:left="6174" w:hanging="360"/>
      </w:pPr>
      <w:rPr>
        <w:rFonts w:ascii="Symbol" w:hAnsi="Symbol" w:hint="default"/>
      </w:rPr>
    </w:lvl>
    <w:lvl w:ilvl="7" w:tplc="0C090003" w:tentative="1">
      <w:start w:val="1"/>
      <w:numFmt w:val="bullet"/>
      <w:lvlText w:val="o"/>
      <w:lvlJc w:val="left"/>
      <w:pPr>
        <w:tabs>
          <w:tab w:val="num" w:pos="6894"/>
        </w:tabs>
        <w:ind w:left="6894" w:hanging="360"/>
      </w:pPr>
      <w:rPr>
        <w:rFonts w:ascii="Courier New" w:hAnsi="Courier New" w:cs="Courier New" w:hint="default"/>
      </w:rPr>
    </w:lvl>
    <w:lvl w:ilvl="8" w:tplc="0C090005" w:tentative="1">
      <w:start w:val="1"/>
      <w:numFmt w:val="bullet"/>
      <w:lvlText w:val=""/>
      <w:lvlJc w:val="left"/>
      <w:pPr>
        <w:tabs>
          <w:tab w:val="num" w:pos="7614"/>
        </w:tabs>
        <w:ind w:left="7614" w:hanging="360"/>
      </w:pPr>
      <w:rPr>
        <w:rFonts w:ascii="Wingdings" w:hAnsi="Wingdings" w:hint="default"/>
      </w:rPr>
    </w:lvl>
  </w:abstractNum>
  <w:abstractNum w:abstractNumId="33">
    <w:nsid w:val="7EBE1BF6"/>
    <w:multiLevelType w:val="multilevel"/>
    <w:tmpl w:val="F8F8FC80"/>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num w:numId="1">
    <w:abstractNumId w:val="28"/>
  </w:num>
  <w:num w:numId="2">
    <w:abstractNumId w:val="14"/>
  </w:num>
  <w:num w:numId="3">
    <w:abstractNumId w:val="16"/>
  </w:num>
  <w:num w:numId="4">
    <w:abstractNumId w:val="17"/>
  </w:num>
  <w:num w:numId="5">
    <w:abstractNumId w:val="20"/>
  </w:num>
  <w:num w:numId="6">
    <w:abstractNumId w:val="18"/>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6"/>
  </w:num>
  <w:num w:numId="18">
    <w:abstractNumId w:val="12"/>
  </w:num>
  <w:num w:numId="19">
    <w:abstractNumId w:val="32"/>
  </w:num>
  <w:num w:numId="20">
    <w:abstractNumId w:val="10"/>
  </w:num>
  <w:num w:numId="21">
    <w:abstractNumId w:val="29"/>
  </w:num>
  <w:num w:numId="22">
    <w:abstractNumId w:val="21"/>
  </w:num>
  <w:num w:numId="23">
    <w:abstractNumId w:val="30"/>
  </w:num>
  <w:num w:numId="24">
    <w:abstractNumId w:val="23"/>
  </w:num>
  <w:num w:numId="25">
    <w:abstractNumId w:val="24"/>
  </w:num>
  <w:num w:numId="26">
    <w:abstractNumId w:val="29"/>
  </w:num>
  <w:num w:numId="27">
    <w:abstractNumId w:val="29"/>
  </w:num>
  <w:num w:numId="28">
    <w:abstractNumId w:val="33"/>
  </w:num>
  <w:num w:numId="29">
    <w:abstractNumId w:val="33"/>
  </w:num>
  <w:num w:numId="30">
    <w:abstractNumId w:val="33"/>
  </w:num>
  <w:num w:numId="31">
    <w:abstractNumId w:val="29"/>
  </w:num>
  <w:num w:numId="32">
    <w:abstractNumId w:val="29"/>
  </w:num>
  <w:num w:numId="33">
    <w:abstractNumId w:val="19"/>
  </w:num>
  <w:num w:numId="34">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num>
  <w:num w:numId="36">
    <w:abstractNumId w:val="15"/>
  </w:num>
  <w:num w:numId="37">
    <w:abstractNumId w:val="11"/>
  </w:num>
  <w:num w:numId="38">
    <w:abstractNumId w:val="31"/>
  </w:num>
  <w:num w:numId="39">
    <w:abstractNumId w:val="27"/>
  </w:num>
  <w:num w:numId="40">
    <w:abstractNumId w:val="25"/>
  </w:num>
  <w:num w:numId="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30"/>
  <w:drawingGridVerticalSpacing w:val="163"/>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38A"/>
    <w:rsid w:val="0000066E"/>
    <w:rsid w:val="000036CC"/>
    <w:rsid w:val="00006000"/>
    <w:rsid w:val="00013B41"/>
    <w:rsid w:val="000210F2"/>
    <w:rsid w:val="0002489E"/>
    <w:rsid w:val="000323F8"/>
    <w:rsid w:val="00037F0D"/>
    <w:rsid w:val="0004091C"/>
    <w:rsid w:val="00041A66"/>
    <w:rsid w:val="00042366"/>
    <w:rsid w:val="00046794"/>
    <w:rsid w:val="00055C5D"/>
    <w:rsid w:val="00061768"/>
    <w:rsid w:val="00070A03"/>
    <w:rsid w:val="00074BD4"/>
    <w:rsid w:val="00077F67"/>
    <w:rsid w:val="00097619"/>
    <w:rsid w:val="000A2EBF"/>
    <w:rsid w:val="000B251D"/>
    <w:rsid w:val="000B484C"/>
    <w:rsid w:val="000B7E68"/>
    <w:rsid w:val="000C08C1"/>
    <w:rsid w:val="000D2CC1"/>
    <w:rsid w:val="000D56E8"/>
    <w:rsid w:val="000E0EF6"/>
    <w:rsid w:val="000E2B3E"/>
    <w:rsid w:val="000E7228"/>
    <w:rsid w:val="000F17E8"/>
    <w:rsid w:val="000F1A37"/>
    <w:rsid w:val="00105985"/>
    <w:rsid w:val="001060D8"/>
    <w:rsid w:val="00123B7A"/>
    <w:rsid w:val="00130E30"/>
    <w:rsid w:val="00135EBD"/>
    <w:rsid w:val="00146EAA"/>
    <w:rsid w:val="001473B5"/>
    <w:rsid w:val="00156E23"/>
    <w:rsid w:val="00166D98"/>
    <w:rsid w:val="00167EE8"/>
    <w:rsid w:val="00174098"/>
    <w:rsid w:val="001754A6"/>
    <w:rsid w:val="001800A9"/>
    <w:rsid w:val="00180F4A"/>
    <w:rsid w:val="001932F0"/>
    <w:rsid w:val="001A1519"/>
    <w:rsid w:val="001B1577"/>
    <w:rsid w:val="001B1B4F"/>
    <w:rsid w:val="001C1B43"/>
    <w:rsid w:val="001C26CE"/>
    <w:rsid w:val="001C2B02"/>
    <w:rsid w:val="001D383F"/>
    <w:rsid w:val="001E0AC1"/>
    <w:rsid w:val="001E17E8"/>
    <w:rsid w:val="001F4D26"/>
    <w:rsid w:val="001F5527"/>
    <w:rsid w:val="001F6A19"/>
    <w:rsid w:val="00220DF2"/>
    <w:rsid w:val="00234C1B"/>
    <w:rsid w:val="0023733D"/>
    <w:rsid w:val="00237AA6"/>
    <w:rsid w:val="00237E04"/>
    <w:rsid w:val="00251CA3"/>
    <w:rsid w:val="00257F3A"/>
    <w:rsid w:val="0026232D"/>
    <w:rsid w:val="002832C7"/>
    <w:rsid w:val="0029322F"/>
    <w:rsid w:val="002A41F2"/>
    <w:rsid w:val="002A5EE3"/>
    <w:rsid w:val="002A7CAE"/>
    <w:rsid w:val="002B4EB0"/>
    <w:rsid w:val="002B5C1D"/>
    <w:rsid w:val="002B6D7F"/>
    <w:rsid w:val="002B7B24"/>
    <w:rsid w:val="002C6A90"/>
    <w:rsid w:val="002D1A75"/>
    <w:rsid w:val="002D3C1E"/>
    <w:rsid w:val="002E2486"/>
    <w:rsid w:val="002F23C7"/>
    <w:rsid w:val="002F2956"/>
    <w:rsid w:val="002F67AB"/>
    <w:rsid w:val="00304995"/>
    <w:rsid w:val="00315F21"/>
    <w:rsid w:val="00317311"/>
    <w:rsid w:val="0032603D"/>
    <w:rsid w:val="00340D0C"/>
    <w:rsid w:val="00344D31"/>
    <w:rsid w:val="00345DC1"/>
    <w:rsid w:val="00350769"/>
    <w:rsid w:val="0035283E"/>
    <w:rsid w:val="00357602"/>
    <w:rsid w:val="00366748"/>
    <w:rsid w:val="0037324E"/>
    <w:rsid w:val="0037756C"/>
    <w:rsid w:val="0038596D"/>
    <w:rsid w:val="003920AB"/>
    <w:rsid w:val="00392CF4"/>
    <w:rsid w:val="00395DAF"/>
    <w:rsid w:val="003A061C"/>
    <w:rsid w:val="003A3059"/>
    <w:rsid w:val="003B0202"/>
    <w:rsid w:val="003B3D7F"/>
    <w:rsid w:val="003B70B0"/>
    <w:rsid w:val="003D72B0"/>
    <w:rsid w:val="003F17A2"/>
    <w:rsid w:val="00406DAA"/>
    <w:rsid w:val="004615D9"/>
    <w:rsid w:val="00466A4D"/>
    <w:rsid w:val="004775CC"/>
    <w:rsid w:val="0048077F"/>
    <w:rsid w:val="004810BA"/>
    <w:rsid w:val="00483503"/>
    <w:rsid w:val="0049086E"/>
    <w:rsid w:val="00491691"/>
    <w:rsid w:val="004A42E9"/>
    <w:rsid w:val="004B5E13"/>
    <w:rsid w:val="004C44F0"/>
    <w:rsid w:val="004C7A7D"/>
    <w:rsid w:val="004E6112"/>
    <w:rsid w:val="004E7622"/>
    <w:rsid w:val="004E7F63"/>
    <w:rsid w:val="00502096"/>
    <w:rsid w:val="00506234"/>
    <w:rsid w:val="005079E2"/>
    <w:rsid w:val="00513254"/>
    <w:rsid w:val="00514A39"/>
    <w:rsid w:val="00520991"/>
    <w:rsid w:val="00521483"/>
    <w:rsid w:val="00525BFB"/>
    <w:rsid w:val="00531836"/>
    <w:rsid w:val="0055249B"/>
    <w:rsid w:val="0055734C"/>
    <w:rsid w:val="0056550E"/>
    <w:rsid w:val="005716CF"/>
    <w:rsid w:val="005739CD"/>
    <w:rsid w:val="00577EB7"/>
    <w:rsid w:val="005813A8"/>
    <w:rsid w:val="00582060"/>
    <w:rsid w:val="00585767"/>
    <w:rsid w:val="0058798D"/>
    <w:rsid w:val="005958FA"/>
    <w:rsid w:val="00595ABA"/>
    <w:rsid w:val="005A646C"/>
    <w:rsid w:val="005B7B96"/>
    <w:rsid w:val="005C06E0"/>
    <w:rsid w:val="005C5274"/>
    <w:rsid w:val="005C6ECF"/>
    <w:rsid w:val="005D0571"/>
    <w:rsid w:val="005D05B6"/>
    <w:rsid w:val="005D07D1"/>
    <w:rsid w:val="005D10FB"/>
    <w:rsid w:val="005D22C5"/>
    <w:rsid w:val="005D3F64"/>
    <w:rsid w:val="005D56F7"/>
    <w:rsid w:val="005D7322"/>
    <w:rsid w:val="005F210E"/>
    <w:rsid w:val="005F2F70"/>
    <w:rsid w:val="00601EFF"/>
    <w:rsid w:val="006178F8"/>
    <w:rsid w:val="00620C0A"/>
    <w:rsid w:val="006218AB"/>
    <w:rsid w:val="00624453"/>
    <w:rsid w:val="00624D56"/>
    <w:rsid w:val="00626167"/>
    <w:rsid w:val="0062630C"/>
    <w:rsid w:val="00633789"/>
    <w:rsid w:val="0063437D"/>
    <w:rsid w:val="00644973"/>
    <w:rsid w:val="00654DAF"/>
    <w:rsid w:val="00654EDC"/>
    <w:rsid w:val="00655C86"/>
    <w:rsid w:val="0065731F"/>
    <w:rsid w:val="00661DB1"/>
    <w:rsid w:val="006648C7"/>
    <w:rsid w:val="00674412"/>
    <w:rsid w:val="006809CD"/>
    <w:rsid w:val="0069107D"/>
    <w:rsid w:val="00697751"/>
    <w:rsid w:val="006A4B37"/>
    <w:rsid w:val="006B0EBD"/>
    <w:rsid w:val="006B4E8A"/>
    <w:rsid w:val="006B5723"/>
    <w:rsid w:val="006C083B"/>
    <w:rsid w:val="006E5219"/>
    <w:rsid w:val="006F3853"/>
    <w:rsid w:val="00707CBF"/>
    <w:rsid w:val="0071377C"/>
    <w:rsid w:val="007225F7"/>
    <w:rsid w:val="00731F51"/>
    <w:rsid w:val="00742A39"/>
    <w:rsid w:val="0075281A"/>
    <w:rsid w:val="00760B1B"/>
    <w:rsid w:val="00760FCA"/>
    <w:rsid w:val="00762E15"/>
    <w:rsid w:val="00765543"/>
    <w:rsid w:val="00767651"/>
    <w:rsid w:val="00782B9B"/>
    <w:rsid w:val="00787696"/>
    <w:rsid w:val="00792015"/>
    <w:rsid w:val="007B0432"/>
    <w:rsid w:val="007B203C"/>
    <w:rsid w:val="007B27A3"/>
    <w:rsid w:val="007C0EC9"/>
    <w:rsid w:val="007C3975"/>
    <w:rsid w:val="007D0CF5"/>
    <w:rsid w:val="007D3544"/>
    <w:rsid w:val="007E2321"/>
    <w:rsid w:val="007F3B5A"/>
    <w:rsid w:val="00833109"/>
    <w:rsid w:val="00846871"/>
    <w:rsid w:val="00855FE8"/>
    <w:rsid w:val="0086021B"/>
    <w:rsid w:val="0086406A"/>
    <w:rsid w:val="008659EF"/>
    <w:rsid w:val="00867314"/>
    <w:rsid w:val="008702B8"/>
    <w:rsid w:val="008901B0"/>
    <w:rsid w:val="008A7D99"/>
    <w:rsid w:val="008B0BE5"/>
    <w:rsid w:val="008D63A4"/>
    <w:rsid w:val="008D76D6"/>
    <w:rsid w:val="008E08A6"/>
    <w:rsid w:val="008E664F"/>
    <w:rsid w:val="008F274E"/>
    <w:rsid w:val="00913F67"/>
    <w:rsid w:val="00916004"/>
    <w:rsid w:val="0092702E"/>
    <w:rsid w:val="00933547"/>
    <w:rsid w:val="00951DC0"/>
    <w:rsid w:val="0095531B"/>
    <w:rsid w:val="009553DD"/>
    <w:rsid w:val="0095660B"/>
    <w:rsid w:val="009623DC"/>
    <w:rsid w:val="00963F0D"/>
    <w:rsid w:val="00970EBB"/>
    <w:rsid w:val="00977BBE"/>
    <w:rsid w:val="00982CF2"/>
    <w:rsid w:val="009970B5"/>
    <w:rsid w:val="009A154C"/>
    <w:rsid w:val="009A4E3E"/>
    <w:rsid w:val="009B2013"/>
    <w:rsid w:val="009C6BA7"/>
    <w:rsid w:val="009D46E5"/>
    <w:rsid w:val="009F02ED"/>
    <w:rsid w:val="009F2562"/>
    <w:rsid w:val="009F318F"/>
    <w:rsid w:val="00A11C08"/>
    <w:rsid w:val="00A23D0B"/>
    <w:rsid w:val="00A254C4"/>
    <w:rsid w:val="00A26492"/>
    <w:rsid w:val="00A2786D"/>
    <w:rsid w:val="00A27E45"/>
    <w:rsid w:val="00A3224F"/>
    <w:rsid w:val="00A36BD9"/>
    <w:rsid w:val="00A4146E"/>
    <w:rsid w:val="00A444FE"/>
    <w:rsid w:val="00A449E7"/>
    <w:rsid w:val="00A531E5"/>
    <w:rsid w:val="00A6738A"/>
    <w:rsid w:val="00A7086B"/>
    <w:rsid w:val="00A73270"/>
    <w:rsid w:val="00A74171"/>
    <w:rsid w:val="00A9118B"/>
    <w:rsid w:val="00A919DD"/>
    <w:rsid w:val="00A92537"/>
    <w:rsid w:val="00A9783A"/>
    <w:rsid w:val="00A97EF1"/>
    <w:rsid w:val="00AA4FB7"/>
    <w:rsid w:val="00AB3BED"/>
    <w:rsid w:val="00AB5EFE"/>
    <w:rsid w:val="00AC52FB"/>
    <w:rsid w:val="00AC5C02"/>
    <w:rsid w:val="00AE0064"/>
    <w:rsid w:val="00AE1BAB"/>
    <w:rsid w:val="00AE41FF"/>
    <w:rsid w:val="00AE6C66"/>
    <w:rsid w:val="00AF18A8"/>
    <w:rsid w:val="00B03B5F"/>
    <w:rsid w:val="00B07EB7"/>
    <w:rsid w:val="00B07F40"/>
    <w:rsid w:val="00B16E48"/>
    <w:rsid w:val="00B17F24"/>
    <w:rsid w:val="00B2738F"/>
    <w:rsid w:val="00B301F1"/>
    <w:rsid w:val="00B32F0B"/>
    <w:rsid w:val="00B46C50"/>
    <w:rsid w:val="00B50681"/>
    <w:rsid w:val="00B67740"/>
    <w:rsid w:val="00B84870"/>
    <w:rsid w:val="00BA00E2"/>
    <w:rsid w:val="00BB5818"/>
    <w:rsid w:val="00BB6041"/>
    <w:rsid w:val="00BB629E"/>
    <w:rsid w:val="00BC5618"/>
    <w:rsid w:val="00BD6245"/>
    <w:rsid w:val="00BD6CF3"/>
    <w:rsid w:val="00BE244B"/>
    <w:rsid w:val="00BE3751"/>
    <w:rsid w:val="00BF4D76"/>
    <w:rsid w:val="00C0052D"/>
    <w:rsid w:val="00C0297A"/>
    <w:rsid w:val="00C065FB"/>
    <w:rsid w:val="00C1050D"/>
    <w:rsid w:val="00C1629A"/>
    <w:rsid w:val="00C21FE3"/>
    <w:rsid w:val="00C24509"/>
    <w:rsid w:val="00C31A91"/>
    <w:rsid w:val="00C46AFB"/>
    <w:rsid w:val="00C5125C"/>
    <w:rsid w:val="00C5135A"/>
    <w:rsid w:val="00C5724E"/>
    <w:rsid w:val="00C64131"/>
    <w:rsid w:val="00C727B4"/>
    <w:rsid w:val="00C75269"/>
    <w:rsid w:val="00C8148A"/>
    <w:rsid w:val="00C84A6D"/>
    <w:rsid w:val="00C908D4"/>
    <w:rsid w:val="00C910D9"/>
    <w:rsid w:val="00C95A4E"/>
    <w:rsid w:val="00CA19D1"/>
    <w:rsid w:val="00CA621F"/>
    <w:rsid w:val="00CA7AFB"/>
    <w:rsid w:val="00CB5CB3"/>
    <w:rsid w:val="00CC2F73"/>
    <w:rsid w:val="00CD5E1A"/>
    <w:rsid w:val="00CD6E1D"/>
    <w:rsid w:val="00CE1A53"/>
    <w:rsid w:val="00CE29B9"/>
    <w:rsid w:val="00CE3788"/>
    <w:rsid w:val="00CF5300"/>
    <w:rsid w:val="00D00500"/>
    <w:rsid w:val="00D03315"/>
    <w:rsid w:val="00D10E98"/>
    <w:rsid w:val="00D217E0"/>
    <w:rsid w:val="00D34603"/>
    <w:rsid w:val="00D3466E"/>
    <w:rsid w:val="00D34A4A"/>
    <w:rsid w:val="00D668DD"/>
    <w:rsid w:val="00D75C6A"/>
    <w:rsid w:val="00D765B0"/>
    <w:rsid w:val="00D76FC0"/>
    <w:rsid w:val="00D85FAC"/>
    <w:rsid w:val="00D92438"/>
    <w:rsid w:val="00D92C9B"/>
    <w:rsid w:val="00D94E47"/>
    <w:rsid w:val="00DA21F4"/>
    <w:rsid w:val="00DA3EBE"/>
    <w:rsid w:val="00DA4033"/>
    <w:rsid w:val="00DA5411"/>
    <w:rsid w:val="00DA646A"/>
    <w:rsid w:val="00DA7207"/>
    <w:rsid w:val="00DA7C50"/>
    <w:rsid w:val="00DB3FE1"/>
    <w:rsid w:val="00DB48F0"/>
    <w:rsid w:val="00DC070B"/>
    <w:rsid w:val="00DC666E"/>
    <w:rsid w:val="00DC6BD6"/>
    <w:rsid w:val="00DD0BB9"/>
    <w:rsid w:val="00DD131D"/>
    <w:rsid w:val="00DE0FAE"/>
    <w:rsid w:val="00DE4BB4"/>
    <w:rsid w:val="00DE75E9"/>
    <w:rsid w:val="00DF2DE1"/>
    <w:rsid w:val="00E03B7A"/>
    <w:rsid w:val="00E06C92"/>
    <w:rsid w:val="00E13CD1"/>
    <w:rsid w:val="00E1692E"/>
    <w:rsid w:val="00E357E2"/>
    <w:rsid w:val="00E42652"/>
    <w:rsid w:val="00E431EC"/>
    <w:rsid w:val="00E548D7"/>
    <w:rsid w:val="00E64CEE"/>
    <w:rsid w:val="00E66ACF"/>
    <w:rsid w:val="00E81C78"/>
    <w:rsid w:val="00E852B3"/>
    <w:rsid w:val="00E94AD8"/>
    <w:rsid w:val="00E94BD0"/>
    <w:rsid w:val="00E958CD"/>
    <w:rsid w:val="00EC3A75"/>
    <w:rsid w:val="00EC5913"/>
    <w:rsid w:val="00ED0297"/>
    <w:rsid w:val="00ED0715"/>
    <w:rsid w:val="00ED0F94"/>
    <w:rsid w:val="00EE772B"/>
    <w:rsid w:val="00F00588"/>
    <w:rsid w:val="00F14A1E"/>
    <w:rsid w:val="00F1583E"/>
    <w:rsid w:val="00F27166"/>
    <w:rsid w:val="00F324C2"/>
    <w:rsid w:val="00F34193"/>
    <w:rsid w:val="00F36DB1"/>
    <w:rsid w:val="00F424B4"/>
    <w:rsid w:val="00F42B7C"/>
    <w:rsid w:val="00F46BB9"/>
    <w:rsid w:val="00F630DE"/>
    <w:rsid w:val="00F659DF"/>
    <w:rsid w:val="00F72D8B"/>
    <w:rsid w:val="00F80BCC"/>
    <w:rsid w:val="00F93D5B"/>
    <w:rsid w:val="00FA1BFE"/>
    <w:rsid w:val="00FB23E7"/>
    <w:rsid w:val="00FD2DBA"/>
    <w:rsid w:val="00FD7EE4"/>
    <w:rsid w:val="00FE0843"/>
    <w:rsid w:val="00FE34B5"/>
    <w:rsid w:val="00FE6741"/>
    <w:rsid w:val="00FF69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footer" w:uiPriority="99"/>
    <w:lsdException w:name="caption" w:semiHidden="0" w:unhideWhenUsed="0"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50D"/>
    <w:pPr>
      <w:spacing w:after="240"/>
      <w:jc w:val="both"/>
    </w:pPr>
    <w:rPr>
      <w:sz w:val="26"/>
      <w:lang w:eastAsia="en-US"/>
    </w:rPr>
  </w:style>
  <w:style w:type="paragraph" w:styleId="Heading1">
    <w:name w:val="heading 1"/>
    <w:basedOn w:val="Normal"/>
    <w:next w:val="Normal"/>
    <w:qFormat/>
    <w:pPr>
      <w:keepNext/>
      <w:spacing w:before="240" w:after="120"/>
      <w:jc w:val="center"/>
      <w:outlineLvl w:val="0"/>
    </w:pPr>
    <w:rPr>
      <w:b/>
      <w:kern w:val="28"/>
      <w:sz w:val="40"/>
    </w:rPr>
  </w:style>
  <w:style w:type="paragraph" w:styleId="Heading2">
    <w:name w:val="heading 2"/>
    <w:basedOn w:val="Normal"/>
    <w:next w:val="Normal"/>
    <w:qFormat/>
    <w:pPr>
      <w:keepNext/>
      <w:spacing w:before="120" w:after="120"/>
      <w:jc w:val="center"/>
      <w:outlineLvl w:val="1"/>
    </w:pPr>
    <w:rPr>
      <w:b/>
      <w:sz w:val="36"/>
    </w:rPr>
  </w:style>
  <w:style w:type="paragraph" w:styleId="Heading3">
    <w:name w:val="heading 3"/>
    <w:basedOn w:val="Normal"/>
    <w:next w:val="Normal"/>
    <w:qFormat/>
    <w:pPr>
      <w:keepNext/>
      <w:spacing w:before="120" w:after="120"/>
      <w:outlineLvl w:val="2"/>
    </w:pPr>
    <w:rPr>
      <w:b/>
      <w:sz w:val="28"/>
    </w:rPr>
  </w:style>
  <w:style w:type="paragraph" w:styleId="Heading4">
    <w:name w:val="heading 4"/>
    <w:basedOn w:val="Normal"/>
    <w:next w:val="Normal"/>
    <w:qFormat/>
    <w:rsid w:val="000A2EBF"/>
    <w:pPr>
      <w:keepNext/>
      <w:numPr>
        <w:ilvl w:val="3"/>
        <w:numId w:val="32"/>
      </w:numPr>
      <w:outlineLvl w:val="3"/>
    </w:pPr>
    <w:rPr>
      <w:b/>
      <w:i/>
    </w:rPr>
  </w:style>
  <w:style w:type="paragraph" w:styleId="Heading5">
    <w:name w:val="heading 5"/>
    <w:basedOn w:val="Normal"/>
    <w:next w:val="Normal"/>
    <w:qFormat/>
    <w:rsid w:val="000A2EBF"/>
    <w:pPr>
      <w:keepNext/>
      <w:numPr>
        <w:ilvl w:val="4"/>
        <w:numId w:val="32"/>
      </w:numPr>
      <w:jc w:val="left"/>
      <w:outlineLvl w:val="4"/>
    </w:pPr>
    <w:rPr>
      <w:i/>
    </w:rPr>
  </w:style>
  <w:style w:type="paragraph" w:styleId="Heading6">
    <w:name w:val="heading 6"/>
    <w:basedOn w:val="Normal"/>
    <w:next w:val="Normal"/>
    <w:qFormat/>
    <w:locked/>
    <w:rsid w:val="000A2EBF"/>
    <w:pPr>
      <w:numPr>
        <w:ilvl w:val="5"/>
        <w:numId w:val="32"/>
      </w:numPr>
      <w:spacing w:before="240" w:after="60"/>
      <w:outlineLvl w:val="5"/>
    </w:pPr>
    <w:rPr>
      <w:i/>
      <w:sz w:val="22"/>
    </w:rPr>
  </w:style>
  <w:style w:type="paragraph" w:styleId="Heading7">
    <w:name w:val="heading 7"/>
    <w:basedOn w:val="Normal"/>
    <w:next w:val="Normal"/>
    <w:qFormat/>
    <w:locked/>
    <w:rsid w:val="000A2EBF"/>
    <w:pPr>
      <w:numPr>
        <w:ilvl w:val="6"/>
        <w:numId w:val="32"/>
      </w:numPr>
      <w:spacing w:before="240" w:after="60"/>
      <w:outlineLvl w:val="6"/>
    </w:pPr>
    <w:rPr>
      <w:rFonts w:ascii="Arial" w:hAnsi="Arial"/>
      <w:sz w:val="20"/>
    </w:rPr>
  </w:style>
  <w:style w:type="paragraph" w:styleId="Heading8">
    <w:name w:val="heading 8"/>
    <w:basedOn w:val="Normal"/>
    <w:next w:val="Normal"/>
    <w:qFormat/>
    <w:locked/>
    <w:rsid w:val="000A2EBF"/>
    <w:pPr>
      <w:numPr>
        <w:ilvl w:val="7"/>
        <w:numId w:val="32"/>
      </w:numPr>
      <w:spacing w:before="240" w:after="60"/>
      <w:outlineLvl w:val="7"/>
    </w:pPr>
    <w:rPr>
      <w:rFonts w:ascii="Arial" w:hAnsi="Arial"/>
      <w:i/>
      <w:sz w:val="20"/>
    </w:rPr>
  </w:style>
  <w:style w:type="paragraph" w:styleId="Heading9">
    <w:name w:val="heading 9"/>
    <w:basedOn w:val="Normal"/>
    <w:next w:val="Normal"/>
    <w:qFormat/>
    <w:locked/>
    <w:rsid w:val="000A2EBF"/>
    <w:pPr>
      <w:numPr>
        <w:ilvl w:val="8"/>
        <w:numId w:val="32"/>
      </w:numPr>
      <w:spacing w:before="240" w:after="60"/>
      <w:outlineLvl w:val="8"/>
    </w:pPr>
    <w:rPr>
      <w:rFonts w:ascii="Arial" w:hAnsi="Arial"/>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customStyle="1" w:styleId="Level1">
    <w:name w:val="Level1"/>
    <w:basedOn w:val="Normal"/>
    <w:rsid w:val="000A2EBF"/>
    <w:pPr>
      <w:numPr>
        <w:numId w:val="32"/>
      </w:numPr>
    </w:pPr>
  </w:style>
  <w:style w:type="paragraph" w:customStyle="1" w:styleId="Level2">
    <w:name w:val="Level2"/>
    <w:basedOn w:val="Normal"/>
    <w:rsid w:val="000A2EBF"/>
    <w:pPr>
      <w:numPr>
        <w:ilvl w:val="1"/>
        <w:numId w:val="32"/>
      </w:numPr>
    </w:pPr>
  </w:style>
  <w:style w:type="paragraph" w:customStyle="1" w:styleId="Level3">
    <w:name w:val="Level3"/>
    <w:basedOn w:val="Normal"/>
    <w:link w:val="Level3Char"/>
    <w:rsid w:val="000A2EBF"/>
    <w:pPr>
      <w:numPr>
        <w:ilvl w:val="2"/>
        <w:numId w:val="32"/>
      </w:numPr>
    </w:pPr>
  </w:style>
  <w:style w:type="paragraph" w:styleId="FootnoteText">
    <w:name w:val="footnote text"/>
    <w:link w:val="FootnoteTextChar"/>
    <w:rsid w:val="00A6738A"/>
    <w:pPr>
      <w:keepLines/>
      <w:spacing w:after="60"/>
      <w:ind w:left="567" w:hanging="567"/>
    </w:pPr>
    <w:rPr>
      <w:sz w:val="22"/>
      <w:lang w:eastAsia="en-US"/>
    </w:rPr>
  </w:style>
  <w:style w:type="character" w:styleId="FootnoteReference">
    <w:name w:val="footnote reference"/>
    <w:semiHidden/>
    <w:rPr>
      <w:vertAlign w:val="superscript"/>
    </w:rPr>
  </w:style>
  <w:style w:type="paragraph" w:styleId="Header">
    <w:name w:val="header"/>
    <w:basedOn w:val="Normal"/>
    <w:semiHidden/>
    <w:pPr>
      <w:tabs>
        <w:tab w:val="center" w:pos="8306"/>
      </w:tabs>
    </w:pPr>
    <w:rPr>
      <w:sz w:val="22"/>
    </w:rPr>
  </w:style>
  <w:style w:type="paragraph" w:styleId="Footer">
    <w:name w:val="footer"/>
    <w:basedOn w:val="Normal"/>
    <w:link w:val="FooterChar"/>
    <w:uiPriority w:val="99"/>
    <w:pPr>
      <w:tabs>
        <w:tab w:val="center" w:pos="4153"/>
        <w:tab w:val="right" w:pos="8306"/>
      </w:tabs>
    </w:pPr>
    <w:rPr>
      <w:sz w:val="22"/>
    </w:rPr>
  </w:style>
  <w:style w:type="paragraph" w:customStyle="1" w:styleId="Bullet2">
    <w:name w:val="Bullet2"/>
    <w:basedOn w:val="Normal"/>
    <w:rsid w:val="00A6738A"/>
    <w:pPr>
      <w:numPr>
        <w:numId w:val="4"/>
      </w:numPr>
      <w:tabs>
        <w:tab w:val="clear" w:pos="1134"/>
        <w:tab w:val="left" w:pos="1418"/>
      </w:tabs>
      <w:ind w:left="1418"/>
    </w:pPr>
  </w:style>
  <w:style w:type="paragraph" w:customStyle="1" w:styleId="Bullet3">
    <w:name w:val="Bullet3"/>
    <w:basedOn w:val="Bullet2"/>
    <w:rsid w:val="00A6738A"/>
    <w:pPr>
      <w:numPr>
        <w:numId w:val="19"/>
      </w:numPr>
      <w:tabs>
        <w:tab w:val="clear" w:pos="1418"/>
        <w:tab w:val="clear" w:pos="1701"/>
        <w:tab w:val="left" w:pos="1985"/>
      </w:tabs>
      <w:ind w:left="1985"/>
    </w:pPr>
  </w:style>
  <w:style w:type="paragraph" w:customStyle="1" w:styleId="Indent">
    <w:name w:val="Indent"/>
    <w:basedOn w:val="Normal"/>
    <w:semiHidden/>
    <w:locked/>
    <w:pPr>
      <w:ind w:left="851" w:right="799"/>
    </w:pPr>
  </w:style>
  <w:style w:type="paragraph" w:styleId="Quote">
    <w:name w:val="Quote"/>
    <w:basedOn w:val="Indent"/>
    <w:qFormat/>
    <w:rsid w:val="005D07D1"/>
    <w:pPr>
      <w:ind w:right="851"/>
    </w:pPr>
    <w:rPr>
      <w:sz w:val="24"/>
    </w:rPr>
  </w:style>
  <w:style w:type="paragraph" w:customStyle="1" w:styleId="REC">
    <w:name w:val="REC"/>
    <w:basedOn w:val="Normal"/>
    <w:rPr>
      <w:b/>
    </w:rPr>
  </w:style>
  <w:style w:type="character" w:styleId="PageNumber">
    <w:name w:val="page number"/>
    <w:basedOn w:val="DefaultParagraphFont"/>
    <w:semiHidden/>
    <w:locked/>
  </w:style>
  <w:style w:type="paragraph" w:styleId="Caption">
    <w:name w:val="caption"/>
    <w:basedOn w:val="Normal"/>
    <w:next w:val="Normal"/>
    <w:qFormat/>
    <w:locked/>
    <w:pPr>
      <w:spacing w:before="120" w:after="120"/>
    </w:pPr>
    <w:rPr>
      <w:i/>
    </w:rPr>
  </w:style>
  <w:style w:type="paragraph" w:styleId="EndnoteText">
    <w:name w:val="endnote text"/>
    <w:basedOn w:val="Normal"/>
    <w:semiHidden/>
    <w:locked/>
    <w:rPr>
      <w:sz w:val="20"/>
    </w:rPr>
  </w:style>
  <w:style w:type="character" w:styleId="EndnoteReference">
    <w:name w:val="endnote reference"/>
    <w:semiHidden/>
    <w:locked/>
    <w:rPr>
      <w:vertAlign w:val="superscript"/>
    </w:rPr>
  </w:style>
  <w:style w:type="paragraph" w:styleId="TOC1">
    <w:name w:val="toc 1"/>
    <w:basedOn w:val="Normal"/>
    <w:next w:val="Normal"/>
    <w:semiHidden/>
    <w:pPr>
      <w:spacing w:before="240" w:after="120"/>
    </w:pPr>
    <w:rPr>
      <w:rFonts w:ascii="Times" w:hAnsi="Times"/>
      <w:b/>
      <w:sz w:val="28"/>
      <w:szCs w:val="28"/>
    </w:rPr>
  </w:style>
  <w:style w:type="paragraph" w:styleId="TOC2">
    <w:name w:val="toc 2"/>
    <w:basedOn w:val="Normal"/>
    <w:next w:val="Normal"/>
    <w:semiHidden/>
    <w:pPr>
      <w:spacing w:after="120"/>
      <w:ind w:left="261"/>
    </w:pPr>
    <w:rPr>
      <w:rFonts w:ascii="Times" w:hAnsi="Times"/>
      <w:b/>
      <w:szCs w:val="26"/>
    </w:rPr>
  </w:style>
  <w:style w:type="paragraph" w:styleId="TOC3">
    <w:name w:val="toc 3"/>
    <w:basedOn w:val="Normal"/>
    <w:next w:val="Normal"/>
    <w:semiHidden/>
    <w:pPr>
      <w:spacing w:after="60"/>
      <w:ind w:left="522"/>
    </w:pPr>
    <w:rPr>
      <w:rFonts w:ascii="Times" w:hAnsi="Times"/>
      <w:szCs w:val="26"/>
    </w:rPr>
  </w:style>
  <w:style w:type="paragraph" w:styleId="TOC4">
    <w:name w:val="toc 4"/>
    <w:basedOn w:val="Normal"/>
    <w:next w:val="Normal"/>
    <w:semiHidden/>
    <w:locked/>
    <w:pPr>
      <w:spacing w:after="60"/>
      <w:ind w:left="720"/>
    </w:pPr>
    <w:rPr>
      <w:rFonts w:ascii="Times" w:hAnsi="Times"/>
      <w:szCs w:val="26"/>
    </w:rPr>
  </w:style>
  <w:style w:type="paragraph" w:styleId="TOC5">
    <w:name w:val="toc 5"/>
    <w:basedOn w:val="Normal"/>
    <w:next w:val="Normal"/>
    <w:semiHidden/>
    <w:locked/>
    <w:pPr>
      <w:spacing w:after="60"/>
      <w:ind w:left="958"/>
    </w:pPr>
    <w:rPr>
      <w:rFonts w:ascii="Times" w:hAnsi="Times"/>
      <w:szCs w:val="26"/>
    </w:rPr>
  </w:style>
  <w:style w:type="paragraph" w:styleId="TOC6">
    <w:name w:val="toc 6"/>
    <w:basedOn w:val="Normal"/>
    <w:next w:val="Normal"/>
    <w:semiHidden/>
    <w:locked/>
    <w:pPr>
      <w:ind w:left="1200"/>
    </w:pPr>
  </w:style>
  <w:style w:type="paragraph" w:styleId="TOC7">
    <w:name w:val="toc 7"/>
    <w:basedOn w:val="Normal"/>
    <w:next w:val="Normal"/>
    <w:semiHidden/>
    <w:locked/>
    <w:pPr>
      <w:ind w:left="1440"/>
    </w:pPr>
  </w:style>
  <w:style w:type="paragraph" w:styleId="TOC8">
    <w:name w:val="toc 8"/>
    <w:basedOn w:val="Normal"/>
    <w:next w:val="Normal"/>
    <w:semiHidden/>
    <w:locked/>
    <w:rsid w:val="000B484C"/>
    <w:pPr>
      <w:tabs>
        <w:tab w:val="left" w:pos="851"/>
      </w:tabs>
    </w:pPr>
    <w:rPr>
      <w:b/>
    </w:rPr>
  </w:style>
  <w:style w:type="paragraph" w:styleId="TOC9">
    <w:name w:val="toc 9"/>
    <w:basedOn w:val="Normal"/>
    <w:next w:val="Normal"/>
    <w:semiHidden/>
    <w:locked/>
    <w:rsid w:val="000B484C"/>
    <w:pPr>
      <w:tabs>
        <w:tab w:val="left" w:pos="1418"/>
      </w:tabs>
      <w:ind w:left="1418" w:hanging="567"/>
    </w:pPr>
    <w:rPr>
      <w:b/>
    </w:rPr>
  </w:style>
  <w:style w:type="numbering" w:styleId="111111">
    <w:name w:val="Outline List 2"/>
    <w:basedOn w:val="NoList"/>
    <w:semiHidden/>
    <w:locked/>
    <w:pPr>
      <w:numPr>
        <w:numId w:val="1"/>
      </w:numPr>
    </w:pPr>
  </w:style>
  <w:style w:type="numbering" w:styleId="1ai">
    <w:name w:val="Outline List 1"/>
    <w:basedOn w:val="NoList"/>
    <w:semiHidden/>
    <w:locked/>
    <w:pPr>
      <w:numPr>
        <w:numId w:val="2"/>
      </w:numPr>
    </w:pPr>
  </w:style>
  <w:style w:type="numbering" w:styleId="ArticleSection">
    <w:name w:val="Outline List 3"/>
    <w:basedOn w:val="NoList"/>
    <w:semiHidden/>
    <w:locked/>
    <w:pPr>
      <w:numPr>
        <w:numId w:val="3"/>
      </w:numPr>
    </w:pPr>
  </w:style>
  <w:style w:type="paragraph" w:styleId="BalloonText">
    <w:name w:val="Balloon Text"/>
    <w:basedOn w:val="Normal"/>
    <w:semiHidden/>
    <w:rPr>
      <w:rFonts w:ascii="Tahoma" w:hAnsi="Tahoma" w:cs="Tahoma"/>
      <w:sz w:val="16"/>
      <w:szCs w:val="16"/>
    </w:rPr>
  </w:style>
  <w:style w:type="paragraph" w:styleId="BlockText">
    <w:name w:val="Block Text"/>
    <w:basedOn w:val="Normal"/>
    <w:semiHidden/>
    <w:locked/>
    <w:pPr>
      <w:spacing w:after="120"/>
      <w:ind w:left="1440" w:right="1440"/>
    </w:pPr>
  </w:style>
  <w:style w:type="paragraph" w:styleId="BodyText">
    <w:name w:val="Body Text"/>
    <w:basedOn w:val="Normal"/>
    <w:semiHidden/>
    <w:locked/>
    <w:pPr>
      <w:spacing w:after="120"/>
    </w:pPr>
  </w:style>
  <w:style w:type="paragraph" w:styleId="BodyText2">
    <w:name w:val="Body Text 2"/>
    <w:basedOn w:val="Normal"/>
    <w:semiHidden/>
    <w:locked/>
    <w:pPr>
      <w:spacing w:after="120" w:line="480" w:lineRule="auto"/>
    </w:pPr>
  </w:style>
  <w:style w:type="paragraph" w:styleId="BodyText3">
    <w:name w:val="Body Text 3"/>
    <w:basedOn w:val="Normal"/>
    <w:semiHidden/>
    <w:locked/>
    <w:pPr>
      <w:spacing w:after="120"/>
    </w:pPr>
    <w:rPr>
      <w:sz w:val="16"/>
      <w:szCs w:val="16"/>
    </w:rPr>
  </w:style>
  <w:style w:type="paragraph" w:styleId="BodyTextFirstIndent">
    <w:name w:val="Body Text First Indent"/>
    <w:basedOn w:val="BodyText"/>
    <w:semiHidden/>
    <w:locked/>
    <w:pPr>
      <w:ind w:firstLine="210"/>
    </w:pPr>
  </w:style>
  <w:style w:type="paragraph" w:styleId="BodyTextIndent">
    <w:name w:val="Body Text Indent"/>
    <w:basedOn w:val="Normal"/>
    <w:semiHidden/>
    <w:locked/>
    <w:pPr>
      <w:spacing w:after="120"/>
      <w:ind w:left="283"/>
    </w:pPr>
  </w:style>
  <w:style w:type="paragraph" w:styleId="BodyTextFirstIndent2">
    <w:name w:val="Body Text First Indent 2"/>
    <w:basedOn w:val="BodyTextIndent"/>
    <w:semiHidden/>
    <w:locked/>
    <w:pPr>
      <w:ind w:firstLine="210"/>
    </w:pPr>
  </w:style>
  <w:style w:type="paragraph" w:styleId="BodyTextIndent2">
    <w:name w:val="Body Text Indent 2"/>
    <w:basedOn w:val="Normal"/>
    <w:semiHidden/>
    <w:locked/>
    <w:pPr>
      <w:spacing w:after="120" w:line="480" w:lineRule="auto"/>
      <w:ind w:left="283"/>
    </w:pPr>
  </w:style>
  <w:style w:type="paragraph" w:styleId="BodyTextIndent3">
    <w:name w:val="Body Text Indent 3"/>
    <w:basedOn w:val="Normal"/>
    <w:semiHidden/>
    <w:locked/>
    <w:pPr>
      <w:spacing w:after="120"/>
      <w:ind w:left="283"/>
    </w:pPr>
    <w:rPr>
      <w:sz w:val="16"/>
      <w:szCs w:val="16"/>
    </w:rPr>
  </w:style>
  <w:style w:type="paragraph" w:styleId="Closing">
    <w:name w:val="Closing"/>
    <w:basedOn w:val="Normal"/>
    <w:semiHidden/>
    <w:locked/>
    <w:pPr>
      <w:ind w:left="4252"/>
    </w:pPr>
  </w:style>
  <w:style w:type="character" w:styleId="CommentReference">
    <w:name w:val="annotation reference"/>
    <w:semiHidden/>
    <w:locked/>
    <w:rPr>
      <w:sz w:val="16"/>
      <w:szCs w:val="16"/>
    </w:rPr>
  </w:style>
  <w:style w:type="paragraph" w:styleId="CommentText">
    <w:name w:val="annotation text"/>
    <w:basedOn w:val="Normal"/>
    <w:semiHidden/>
    <w:locked/>
    <w:rPr>
      <w:sz w:val="20"/>
    </w:rPr>
  </w:style>
  <w:style w:type="paragraph" w:styleId="CommentSubject">
    <w:name w:val="annotation subject"/>
    <w:basedOn w:val="CommentText"/>
    <w:next w:val="CommentText"/>
    <w:semiHidden/>
    <w:locked/>
    <w:rPr>
      <w:b/>
      <w:bCs/>
    </w:rPr>
  </w:style>
  <w:style w:type="paragraph" w:styleId="Date">
    <w:name w:val="Date"/>
    <w:basedOn w:val="Normal"/>
    <w:next w:val="Normal"/>
    <w:semiHidden/>
    <w:locked/>
  </w:style>
  <w:style w:type="paragraph" w:styleId="DocumentMap">
    <w:name w:val="Document Map"/>
    <w:basedOn w:val="Normal"/>
    <w:semiHidden/>
    <w:locked/>
    <w:pPr>
      <w:shd w:val="clear" w:color="auto" w:fill="000080"/>
    </w:pPr>
    <w:rPr>
      <w:rFonts w:ascii="Tahoma" w:hAnsi="Tahoma" w:cs="Tahoma"/>
      <w:sz w:val="20"/>
    </w:rPr>
  </w:style>
  <w:style w:type="paragraph" w:styleId="E-mailSignature">
    <w:name w:val="E-mail Signature"/>
    <w:basedOn w:val="Normal"/>
    <w:semiHidden/>
    <w:locked/>
  </w:style>
  <w:style w:type="character" w:styleId="Emphasis">
    <w:name w:val="Emphasis"/>
    <w:qFormat/>
    <w:locked/>
    <w:rPr>
      <w:i/>
      <w:iCs/>
    </w:rPr>
  </w:style>
  <w:style w:type="paragraph" w:styleId="EnvelopeAddress">
    <w:name w:val="envelope address"/>
    <w:basedOn w:val="Normal"/>
    <w:semiHidden/>
    <w:locked/>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locked/>
    <w:rPr>
      <w:rFonts w:ascii="Arial" w:hAnsi="Arial" w:cs="Arial"/>
      <w:sz w:val="20"/>
    </w:rPr>
  </w:style>
  <w:style w:type="character" w:styleId="FollowedHyperlink">
    <w:name w:val="FollowedHyperlink"/>
    <w:semiHidden/>
    <w:locked/>
    <w:rPr>
      <w:color w:val="800080"/>
      <w:u w:val="single"/>
    </w:rPr>
  </w:style>
  <w:style w:type="character" w:styleId="HTMLAcronym">
    <w:name w:val="HTML Acronym"/>
    <w:basedOn w:val="DefaultParagraphFont"/>
    <w:semiHidden/>
    <w:locked/>
  </w:style>
  <w:style w:type="paragraph" w:styleId="HTMLAddress">
    <w:name w:val="HTML Address"/>
    <w:basedOn w:val="Normal"/>
    <w:semiHidden/>
    <w:locked/>
    <w:rPr>
      <w:i/>
      <w:iCs/>
    </w:rPr>
  </w:style>
  <w:style w:type="character" w:styleId="HTMLCite">
    <w:name w:val="HTML Cite"/>
    <w:semiHidden/>
    <w:locked/>
    <w:rPr>
      <w:i/>
      <w:iCs/>
    </w:rPr>
  </w:style>
  <w:style w:type="character" w:styleId="HTMLCode">
    <w:name w:val="HTML Code"/>
    <w:semiHidden/>
    <w:locked/>
    <w:rPr>
      <w:rFonts w:ascii="Courier New" w:hAnsi="Courier New" w:cs="Courier New"/>
      <w:sz w:val="20"/>
      <w:szCs w:val="20"/>
    </w:rPr>
  </w:style>
  <w:style w:type="character" w:styleId="HTMLDefinition">
    <w:name w:val="HTML Definition"/>
    <w:semiHidden/>
    <w:locked/>
    <w:rPr>
      <w:i/>
      <w:iCs/>
    </w:rPr>
  </w:style>
  <w:style w:type="character" w:styleId="HTMLKeyboard">
    <w:name w:val="HTML Keyboard"/>
    <w:semiHidden/>
    <w:locked/>
    <w:rPr>
      <w:rFonts w:ascii="Courier New" w:hAnsi="Courier New" w:cs="Courier New"/>
      <w:sz w:val="20"/>
      <w:szCs w:val="20"/>
    </w:rPr>
  </w:style>
  <w:style w:type="paragraph" w:styleId="HTMLPreformatted">
    <w:name w:val="HTML Preformatted"/>
    <w:basedOn w:val="Normal"/>
    <w:semiHidden/>
    <w:locked/>
    <w:rPr>
      <w:rFonts w:ascii="Courier New" w:hAnsi="Courier New" w:cs="Courier New"/>
      <w:sz w:val="20"/>
    </w:rPr>
  </w:style>
  <w:style w:type="character" w:styleId="HTMLSample">
    <w:name w:val="HTML Sample"/>
    <w:semiHidden/>
    <w:locked/>
    <w:rPr>
      <w:rFonts w:ascii="Courier New" w:hAnsi="Courier New" w:cs="Courier New"/>
    </w:rPr>
  </w:style>
  <w:style w:type="character" w:styleId="HTMLTypewriter">
    <w:name w:val="HTML Typewriter"/>
    <w:semiHidden/>
    <w:locked/>
    <w:rPr>
      <w:rFonts w:ascii="Courier New" w:hAnsi="Courier New" w:cs="Courier New"/>
      <w:sz w:val="20"/>
      <w:szCs w:val="20"/>
    </w:rPr>
  </w:style>
  <w:style w:type="character" w:styleId="HTMLVariable">
    <w:name w:val="HTML Variable"/>
    <w:semiHidden/>
    <w:locked/>
    <w:rPr>
      <w:i/>
      <w:iCs/>
    </w:rPr>
  </w:style>
  <w:style w:type="character" w:styleId="Hyperlink">
    <w:name w:val="Hyperlink"/>
    <w:rPr>
      <w:color w:val="0000FF"/>
      <w:u w:val="single"/>
    </w:rPr>
  </w:style>
  <w:style w:type="paragraph" w:styleId="Index1">
    <w:name w:val="index 1"/>
    <w:basedOn w:val="Normal"/>
    <w:next w:val="Normal"/>
    <w:semiHidden/>
    <w:locked/>
    <w:pPr>
      <w:ind w:left="260" w:hanging="260"/>
    </w:pPr>
  </w:style>
  <w:style w:type="paragraph" w:styleId="Index2">
    <w:name w:val="index 2"/>
    <w:basedOn w:val="Normal"/>
    <w:next w:val="Normal"/>
    <w:semiHidden/>
    <w:locked/>
    <w:pPr>
      <w:ind w:left="520" w:hanging="260"/>
    </w:pPr>
  </w:style>
  <w:style w:type="paragraph" w:styleId="Index3">
    <w:name w:val="index 3"/>
    <w:basedOn w:val="Normal"/>
    <w:next w:val="Normal"/>
    <w:semiHidden/>
    <w:locked/>
    <w:pPr>
      <w:ind w:left="780" w:hanging="260"/>
    </w:pPr>
  </w:style>
  <w:style w:type="paragraph" w:styleId="Index4">
    <w:name w:val="index 4"/>
    <w:basedOn w:val="Normal"/>
    <w:next w:val="Normal"/>
    <w:semiHidden/>
    <w:locked/>
    <w:pPr>
      <w:ind w:left="1040" w:hanging="260"/>
    </w:pPr>
  </w:style>
  <w:style w:type="paragraph" w:styleId="Index5">
    <w:name w:val="index 5"/>
    <w:basedOn w:val="Normal"/>
    <w:next w:val="Normal"/>
    <w:semiHidden/>
    <w:locked/>
    <w:pPr>
      <w:ind w:left="1300" w:hanging="260"/>
    </w:pPr>
  </w:style>
  <w:style w:type="paragraph" w:styleId="Index6">
    <w:name w:val="index 6"/>
    <w:basedOn w:val="Normal"/>
    <w:next w:val="Normal"/>
    <w:semiHidden/>
    <w:locked/>
    <w:pPr>
      <w:ind w:left="1560" w:hanging="260"/>
    </w:pPr>
  </w:style>
  <w:style w:type="paragraph" w:styleId="Index7">
    <w:name w:val="index 7"/>
    <w:basedOn w:val="Normal"/>
    <w:next w:val="Normal"/>
    <w:semiHidden/>
    <w:locked/>
    <w:pPr>
      <w:ind w:left="1820" w:hanging="260"/>
    </w:pPr>
  </w:style>
  <w:style w:type="paragraph" w:styleId="Index8">
    <w:name w:val="index 8"/>
    <w:basedOn w:val="Normal"/>
    <w:next w:val="Normal"/>
    <w:semiHidden/>
    <w:locked/>
    <w:pPr>
      <w:ind w:left="2080" w:hanging="260"/>
    </w:pPr>
  </w:style>
  <w:style w:type="paragraph" w:styleId="Index9">
    <w:name w:val="index 9"/>
    <w:basedOn w:val="Normal"/>
    <w:next w:val="Normal"/>
    <w:semiHidden/>
    <w:locked/>
    <w:pPr>
      <w:ind w:left="2340" w:hanging="260"/>
    </w:pPr>
  </w:style>
  <w:style w:type="paragraph" w:styleId="IndexHeading">
    <w:name w:val="index heading"/>
    <w:basedOn w:val="Normal"/>
    <w:next w:val="Index1"/>
    <w:semiHidden/>
    <w:locked/>
    <w:rPr>
      <w:rFonts w:ascii="Arial" w:hAnsi="Arial" w:cs="Arial"/>
      <w:b/>
      <w:bCs/>
    </w:rPr>
  </w:style>
  <w:style w:type="character" w:styleId="LineNumber">
    <w:name w:val="line number"/>
    <w:basedOn w:val="DefaultParagraphFont"/>
    <w:semiHidden/>
    <w:locked/>
  </w:style>
  <w:style w:type="paragraph" w:styleId="List">
    <w:name w:val="List"/>
    <w:basedOn w:val="Normal"/>
    <w:semiHidden/>
    <w:locked/>
    <w:pPr>
      <w:ind w:left="283" w:hanging="283"/>
    </w:pPr>
  </w:style>
  <w:style w:type="paragraph" w:styleId="List2">
    <w:name w:val="List 2"/>
    <w:basedOn w:val="Normal"/>
    <w:semiHidden/>
    <w:locked/>
    <w:pPr>
      <w:ind w:left="566" w:hanging="283"/>
    </w:pPr>
  </w:style>
  <w:style w:type="paragraph" w:styleId="List3">
    <w:name w:val="List 3"/>
    <w:basedOn w:val="Normal"/>
    <w:semiHidden/>
    <w:locked/>
    <w:pPr>
      <w:ind w:left="849" w:hanging="283"/>
    </w:pPr>
  </w:style>
  <w:style w:type="paragraph" w:styleId="List4">
    <w:name w:val="List 4"/>
    <w:basedOn w:val="Normal"/>
    <w:semiHidden/>
    <w:locked/>
    <w:pPr>
      <w:ind w:left="1132" w:hanging="283"/>
    </w:pPr>
  </w:style>
  <w:style w:type="paragraph" w:styleId="List5">
    <w:name w:val="List 5"/>
    <w:basedOn w:val="Normal"/>
    <w:semiHidden/>
    <w:locked/>
    <w:pPr>
      <w:ind w:left="1415" w:hanging="283"/>
    </w:pPr>
  </w:style>
  <w:style w:type="paragraph" w:styleId="ListBullet">
    <w:name w:val="List Bullet"/>
    <w:basedOn w:val="Normal"/>
    <w:semiHidden/>
    <w:locked/>
    <w:pPr>
      <w:numPr>
        <w:numId w:val="7"/>
      </w:numPr>
    </w:pPr>
  </w:style>
  <w:style w:type="paragraph" w:styleId="ListBullet2">
    <w:name w:val="List Bullet 2"/>
    <w:basedOn w:val="Normal"/>
    <w:semiHidden/>
    <w:locked/>
    <w:pPr>
      <w:numPr>
        <w:numId w:val="8"/>
      </w:numPr>
    </w:pPr>
  </w:style>
  <w:style w:type="paragraph" w:styleId="ListBullet3">
    <w:name w:val="List Bullet 3"/>
    <w:basedOn w:val="Normal"/>
    <w:semiHidden/>
    <w:locked/>
    <w:pPr>
      <w:numPr>
        <w:numId w:val="9"/>
      </w:numPr>
    </w:pPr>
  </w:style>
  <w:style w:type="paragraph" w:styleId="ListBullet4">
    <w:name w:val="List Bullet 4"/>
    <w:basedOn w:val="Normal"/>
    <w:semiHidden/>
    <w:locked/>
    <w:pPr>
      <w:numPr>
        <w:numId w:val="10"/>
      </w:numPr>
    </w:pPr>
  </w:style>
  <w:style w:type="paragraph" w:styleId="ListBullet5">
    <w:name w:val="List Bullet 5"/>
    <w:basedOn w:val="Normal"/>
    <w:semiHidden/>
    <w:locked/>
    <w:pPr>
      <w:numPr>
        <w:numId w:val="11"/>
      </w:numPr>
    </w:pPr>
  </w:style>
  <w:style w:type="paragraph" w:styleId="ListContinue">
    <w:name w:val="List Continue"/>
    <w:basedOn w:val="Normal"/>
    <w:semiHidden/>
    <w:locked/>
    <w:pPr>
      <w:spacing w:after="120"/>
      <w:ind w:left="283"/>
    </w:pPr>
  </w:style>
  <w:style w:type="paragraph" w:styleId="ListContinue2">
    <w:name w:val="List Continue 2"/>
    <w:basedOn w:val="Normal"/>
    <w:semiHidden/>
    <w:locked/>
    <w:pPr>
      <w:spacing w:after="120"/>
      <w:ind w:left="566"/>
    </w:pPr>
  </w:style>
  <w:style w:type="paragraph" w:styleId="ListContinue3">
    <w:name w:val="List Continue 3"/>
    <w:basedOn w:val="Normal"/>
    <w:semiHidden/>
    <w:locked/>
    <w:pPr>
      <w:spacing w:after="120"/>
      <w:ind w:left="849"/>
    </w:pPr>
  </w:style>
  <w:style w:type="paragraph" w:styleId="ListContinue4">
    <w:name w:val="List Continue 4"/>
    <w:basedOn w:val="Normal"/>
    <w:semiHidden/>
    <w:locked/>
    <w:pPr>
      <w:spacing w:after="120"/>
      <w:ind w:left="1132"/>
    </w:pPr>
  </w:style>
  <w:style w:type="paragraph" w:styleId="ListContinue5">
    <w:name w:val="List Continue 5"/>
    <w:basedOn w:val="Normal"/>
    <w:semiHidden/>
    <w:locked/>
    <w:pPr>
      <w:spacing w:after="120"/>
      <w:ind w:left="1415"/>
    </w:pPr>
  </w:style>
  <w:style w:type="paragraph" w:styleId="ListNumber">
    <w:name w:val="List Number"/>
    <w:basedOn w:val="Normal"/>
    <w:semiHidden/>
    <w:locked/>
    <w:pPr>
      <w:numPr>
        <w:numId w:val="12"/>
      </w:numPr>
    </w:pPr>
  </w:style>
  <w:style w:type="paragraph" w:styleId="ListNumber2">
    <w:name w:val="List Number 2"/>
    <w:basedOn w:val="Normal"/>
    <w:semiHidden/>
    <w:locked/>
    <w:pPr>
      <w:numPr>
        <w:numId w:val="13"/>
      </w:numPr>
    </w:pPr>
  </w:style>
  <w:style w:type="paragraph" w:styleId="ListNumber3">
    <w:name w:val="List Number 3"/>
    <w:basedOn w:val="Normal"/>
    <w:semiHidden/>
    <w:locked/>
    <w:pPr>
      <w:numPr>
        <w:numId w:val="14"/>
      </w:numPr>
    </w:pPr>
  </w:style>
  <w:style w:type="paragraph" w:styleId="ListNumber4">
    <w:name w:val="List Number 4"/>
    <w:basedOn w:val="Normal"/>
    <w:semiHidden/>
    <w:locked/>
    <w:pPr>
      <w:numPr>
        <w:numId w:val="15"/>
      </w:numPr>
    </w:pPr>
  </w:style>
  <w:style w:type="paragraph" w:styleId="ListNumber5">
    <w:name w:val="List Number 5"/>
    <w:basedOn w:val="Normal"/>
    <w:semiHidden/>
    <w:locked/>
    <w:pPr>
      <w:numPr>
        <w:numId w:val="16"/>
      </w:numPr>
    </w:pPr>
  </w:style>
  <w:style w:type="paragraph" w:styleId="MacroText">
    <w:name w:val="macro"/>
    <w:semiHidden/>
    <w:locked/>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eastAsia="en-US"/>
    </w:rPr>
  </w:style>
  <w:style w:type="paragraph" w:styleId="MessageHeader">
    <w:name w:val="Message Header"/>
    <w:basedOn w:val="Normal"/>
    <w:semiHidden/>
    <w:locke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locked/>
    <w:rPr>
      <w:sz w:val="24"/>
      <w:szCs w:val="24"/>
    </w:rPr>
  </w:style>
  <w:style w:type="paragraph" w:styleId="NormalIndent">
    <w:name w:val="Normal Indent"/>
    <w:basedOn w:val="Normal"/>
    <w:semiHidden/>
    <w:locked/>
    <w:pPr>
      <w:ind w:left="720"/>
    </w:pPr>
  </w:style>
  <w:style w:type="paragraph" w:styleId="NoteHeading">
    <w:name w:val="Note Heading"/>
    <w:basedOn w:val="Normal"/>
    <w:next w:val="Normal"/>
    <w:semiHidden/>
    <w:locked/>
  </w:style>
  <w:style w:type="paragraph" w:styleId="PlainText">
    <w:name w:val="Plain Text"/>
    <w:basedOn w:val="Normal"/>
    <w:semiHidden/>
    <w:locked/>
    <w:rPr>
      <w:rFonts w:ascii="Courier New" w:hAnsi="Courier New" w:cs="Courier New"/>
      <w:sz w:val="20"/>
    </w:rPr>
  </w:style>
  <w:style w:type="paragraph" w:styleId="Salutation">
    <w:name w:val="Salutation"/>
    <w:basedOn w:val="Normal"/>
    <w:next w:val="Normal"/>
    <w:semiHidden/>
    <w:locked/>
  </w:style>
  <w:style w:type="paragraph" w:styleId="Signature">
    <w:name w:val="Signature"/>
    <w:basedOn w:val="Normal"/>
    <w:semiHidden/>
    <w:locked/>
    <w:pPr>
      <w:ind w:left="4252"/>
    </w:pPr>
  </w:style>
  <w:style w:type="character" w:styleId="Strong">
    <w:name w:val="Strong"/>
    <w:qFormat/>
    <w:locked/>
    <w:rPr>
      <w:b/>
      <w:bCs/>
    </w:rPr>
  </w:style>
  <w:style w:type="paragraph" w:styleId="Subtitle">
    <w:name w:val="Subtitle"/>
    <w:basedOn w:val="Normal"/>
    <w:qFormat/>
    <w:locked/>
    <w:rsid w:val="00A6738A"/>
    <w:pPr>
      <w:spacing w:after="60"/>
      <w:jc w:val="center"/>
    </w:pPr>
    <w:rPr>
      <w:rFonts w:ascii="Arial" w:hAnsi="Arial" w:cs="Arial"/>
      <w:sz w:val="24"/>
      <w:szCs w:val="24"/>
    </w:rPr>
  </w:style>
  <w:style w:type="table" w:styleId="Table3Deffects1">
    <w:name w:val="Table 3D effects 1"/>
    <w:basedOn w:val="TableNormal"/>
    <w:semiHidden/>
    <w:locked/>
    <w:pPr>
      <w:spacing w:after="240"/>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pPr>
      <w:spacing w:after="240"/>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pPr>
      <w:spacing w:after="240"/>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pPr>
      <w:spacing w:after="24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pPr>
      <w:spacing w:after="24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pPr>
      <w:spacing w:after="240"/>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pPr>
      <w:spacing w:after="240"/>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pPr>
      <w:spacing w:after="240"/>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pPr>
      <w:spacing w:after="24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pPr>
      <w:spacing w:after="240"/>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pPr>
      <w:spacing w:after="240"/>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pPr>
      <w:spacing w:after="240"/>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pPr>
      <w:spacing w:after="240"/>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pPr>
      <w:spacing w:after="240"/>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pPr>
      <w:spacing w:after="240"/>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pPr>
      <w:spacing w:after="240"/>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pPr>
      <w:spacing w:after="24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locked/>
    <w:pPr>
      <w:spacing w:after="2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locked/>
    <w:pPr>
      <w:spacing w:after="24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pPr>
      <w:spacing w:after="240"/>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pPr>
      <w:spacing w:after="240"/>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pPr>
      <w:spacing w:after="240"/>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pPr>
      <w:spacing w:after="24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pPr>
      <w:spacing w:after="240"/>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pPr>
      <w:spacing w:after="240"/>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pPr>
      <w:spacing w:after="24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pPr>
      <w:spacing w:after="240"/>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pPr>
      <w:spacing w:after="240"/>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pPr>
      <w:spacing w:after="24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pPr>
      <w:spacing w:after="24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pPr>
      <w:spacing w:after="24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pPr>
      <w:spacing w:after="240"/>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pPr>
      <w:spacing w:after="240"/>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pPr>
      <w:spacing w:after="240"/>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pPr>
      <w:ind w:left="260" w:hanging="260"/>
    </w:pPr>
  </w:style>
  <w:style w:type="paragraph" w:styleId="TableofFigures">
    <w:name w:val="table of figures"/>
    <w:basedOn w:val="Normal"/>
    <w:next w:val="Normal"/>
    <w:semiHidden/>
    <w:locked/>
  </w:style>
  <w:style w:type="table" w:styleId="TableProfessional">
    <w:name w:val="Table Professional"/>
    <w:basedOn w:val="TableNormal"/>
    <w:semiHidden/>
    <w:locked/>
    <w:pPr>
      <w:spacing w:after="24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pPr>
      <w:spacing w:after="24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pPr>
      <w:spacing w:after="240"/>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pPr>
      <w:spacing w:after="240"/>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pPr>
      <w:spacing w:after="240"/>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pPr>
      <w:spacing w:after="240"/>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pPr>
      <w:spacing w:after="2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locked/>
    <w:pPr>
      <w:spacing w:after="24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pPr>
      <w:spacing w:after="240"/>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pPr>
      <w:spacing w:after="240"/>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locked/>
    <w:rsid w:val="00A6738A"/>
    <w:pPr>
      <w:spacing w:before="240" w:after="60"/>
      <w:jc w:val="center"/>
    </w:pPr>
    <w:rPr>
      <w:rFonts w:ascii="Arial" w:hAnsi="Arial" w:cs="Arial"/>
      <w:b/>
      <w:bCs/>
      <w:kern w:val="28"/>
      <w:sz w:val="32"/>
      <w:szCs w:val="32"/>
    </w:rPr>
  </w:style>
  <w:style w:type="paragraph" w:styleId="TOAHeading">
    <w:name w:val="toa heading"/>
    <w:basedOn w:val="Normal"/>
    <w:next w:val="Normal"/>
    <w:semiHidden/>
    <w:locked/>
    <w:pPr>
      <w:spacing w:before="120"/>
    </w:pPr>
    <w:rPr>
      <w:rFonts w:ascii="Arial" w:hAnsi="Arial" w:cs="Arial"/>
      <w:b/>
      <w:bCs/>
      <w:sz w:val="24"/>
      <w:szCs w:val="24"/>
    </w:rPr>
  </w:style>
  <w:style w:type="paragraph" w:customStyle="1" w:styleId="Bullet4">
    <w:name w:val="Bullet4"/>
    <w:basedOn w:val="Bullet3"/>
    <w:rsid w:val="00A6738A"/>
    <w:pPr>
      <w:numPr>
        <w:numId w:val="5"/>
      </w:numPr>
      <w:tabs>
        <w:tab w:val="clear" w:pos="1701"/>
      </w:tabs>
      <w:ind w:left="1985"/>
    </w:pPr>
  </w:style>
  <w:style w:type="paragraph" w:customStyle="1" w:styleId="RecLevel1">
    <w:name w:val="RecLevel1"/>
    <w:basedOn w:val="Level1"/>
    <w:rsid w:val="005D07D1"/>
    <w:rPr>
      <w:b/>
    </w:rPr>
  </w:style>
  <w:style w:type="character" w:customStyle="1" w:styleId="Level3Char">
    <w:name w:val="Level3 Char"/>
    <w:link w:val="Level3"/>
    <w:rsid w:val="000A2EBF"/>
    <w:rPr>
      <w:sz w:val="26"/>
      <w:lang w:eastAsia="en-US"/>
    </w:rPr>
  </w:style>
  <w:style w:type="paragraph" w:customStyle="1" w:styleId="Bullet1">
    <w:name w:val="Bullet1"/>
    <w:basedOn w:val="Bullet2"/>
    <w:rsid w:val="00A6738A"/>
    <w:pPr>
      <w:tabs>
        <w:tab w:val="clear" w:pos="1418"/>
        <w:tab w:val="left" w:pos="851"/>
      </w:tabs>
      <w:ind w:left="851" w:hanging="851"/>
    </w:pPr>
  </w:style>
  <w:style w:type="paragraph" w:customStyle="1" w:styleId="RecBullet1">
    <w:name w:val="RecBullet1"/>
    <w:basedOn w:val="Bullet1"/>
    <w:rsid w:val="00A6738A"/>
    <w:rPr>
      <w:b/>
    </w:rPr>
  </w:style>
  <w:style w:type="paragraph" w:customStyle="1" w:styleId="RecBullet2">
    <w:name w:val="RecBullet2"/>
    <w:basedOn w:val="Bullet2"/>
    <w:rsid w:val="00A6738A"/>
    <w:rPr>
      <w:b/>
    </w:rPr>
  </w:style>
  <w:style w:type="paragraph" w:customStyle="1" w:styleId="JNP2">
    <w:name w:val="JNP2"/>
    <w:basedOn w:val="Normal"/>
    <w:rsid w:val="00C1050D"/>
    <w:pPr>
      <w:spacing w:after="0"/>
      <w:ind w:left="2268"/>
    </w:pPr>
    <w:rPr>
      <w:lang w:val="en-US"/>
    </w:rPr>
  </w:style>
  <w:style w:type="paragraph" w:customStyle="1" w:styleId="JNP3">
    <w:name w:val="JNP3"/>
    <w:basedOn w:val="JNP2"/>
    <w:rsid w:val="008659EF"/>
    <w:pPr>
      <w:tabs>
        <w:tab w:val="left" w:pos="3969"/>
      </w:tabs>
      <w:ind w:left="2552"/>
    </w:pPr>
    <w:rPr>
      <w:sz w:val="24"/>
      <w:lang w:eastAsia="en-AU"/>
    </w:rPr>
  </w:style>
  <w:style w:type="paragraph" w:styleId="ListParagraph">
    <w:name w:val="List Paragraph"/>
    <w:basedOn w:val="Normal"/>
    <w:uiPriority w:val="34"/>
    <w:qFormat/>
    <w:rsid w:val="00BE244B"/>
    <w:pPr>
      <w:spacing w:after="0"/>
      <w:ind w:left="720"/>
      <w:jc w:val="left"/>
    </w:pPr>
    <w:rPr>
      <w:rFonts w:ascii="Calibri" w:hAnsi="Calibri"/>
      <w:sz w:val="22"/>
      <w:szCs w:val="22"/>
    </w:rPr>
  </w:style>
  <w:style w:type="paragraph" w:styleId="Bibliography">
    <w:name w:val="Bibliography"/>
    <w:basedOn w:val="Normal"/>
    <w:next w:val="Normal"/>
    <w:uiPriority w:val="37"/>
    <w:semiHidden/>
    <w:unhideWhenUsed/>
    <w:rsid w:val="001E0AC1"/>
    <w:rPr>
      <w:lang w:eastAsia="en-AU"/>
    </w:rPr>
  </w:style>
  <w:style w:type="character" w:styleId="BookTitle">
    <w:name w:val="Book Title"/>
    <w:uiPriority w:val="33"/>
    <w:rsid w:val="001E0AC1"/>
    <w:rPr>
      <w:b/>
      <w:bCs/>
      <w:smallCaps/>
      <w:spacing w:val="5"/>
    </w:rPr>
  </w:style>
  <w:style w:type="table" w:customStyle="1" w:styleId="ColorfulGrid1">
    <w:name w:val="Colorful Grid1"/>
    <w:basedOn w:val="TableNormal"/>
    <w:uiPriority w:val="73"/>
    <w:rsid w:val="001E0AC1"/>
    <w:rPr>
      <w:rFonts w:ascii="Times New (W1)" w:hAnsi="Times New (W1)"/>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1E0AC1"/>
    <w:rPr>
      <w:rFonts w:ascii="Times New (W1)" w:hAnsi="Times New (W1)"/>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1E0AC1"/>
    <w:rPr>
      <w:rFonts w:ascii="Times New (W1)" w:hAnsi="Times New (W1)"/>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1E0AC1"/>
    <w:rPr>
      <w:rFonts w:ascii="Times New (W1)" w:hAnsi="Times New (W1)"/>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1E0AC1"/>
    <w:rPr>
      <w:rFonts w:ascii="Times New (W1)" w:hAnsi="Times New (W1)"/>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1E0AC1"/>
    <w:rPr>
      <w:rFonts w:ascii="Times New (W1)" w:hAnsi="Times New (W1)"/>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1E0AC1"/>
    <w:rPr>
      <w:rFonts w:ascii="Times New (W1)" w:hAnsi="Times New (W1)"/>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1E0AC1"/>
    <w:rPr>
      <w:rFonts w:ascii="Times New (W1)" w:hAnsi="Times New (W1)"/>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1E0AC1"/>
    <w:rPr>
      <w:rFonts w:ascii="Times New (W1)" w:hAnsi="Times New (W1)"/>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1E0AC1"/>
    <w:rPr>
      <w:rFonts w:ascii="Times New (W1)" w:hAnsi="Times New (W1)"/>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1E0AC1"/>
    <w:rPr>
      <w:rFonts w:ascii="Times New (W1)" w:hAnsi="Times New (W1)"/>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1E0AC1"/>
    <w:rPr>
      <w:rFonts w:ascii="Times New (W1)" w:hAnsi="Times New (W1)"/>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1E0AC1"/>
    <w:rPr>
      <w:rFonts w:ascii="Times New (W1)" w:hAnsi="Times New (W1)"/>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1E0AC1"/>
    <w:rPr>
      <w:rFonts w:ascii="Times New (W1)" w:hAnsi="Times New (W1)"/>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1E0AC1"/>
    <w:rPr>
      <w:rFonts w:ascii="Times New (W1)" w:hAnsi="Times New (W1)"/>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1E0AC1"/>
    <w:rPr>
      <w:rFonts w:ascii="Times New (W1)" w:hAnsi="Times New (W1)"/>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1E0AC1"/>
    <w:rPr>
      <w:rFonts w:ascii="Times New (W1)" w:hAnsi="Times New (W1)"/>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1E0AC1"/>
    <w:rPr>
      <w:rFonts w:ascii="Times New (W1)" w:hAnsi="Times New (W1)"/>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1E0AC1"/>
    <w:rPr>
      <w:rFonts w:ascii="Times New (W1)" w:hAnsi="Times New (W1)"/>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1E0AC1"/>
    <w:rPr>
      <w:rFonts w:ascii="Times New (W1)" w:hAnsi="Times New (W1)"/>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1E0AC1"/>
    <w:rPr>
      <w:rFonts w:ascii="Times New (W1)" w:hAnsi="Times New (W1)"/>
      <w:color w:val="00000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DarkList1">
    <w:name w:val="Dark List1"/>
    <w:basedOn w:val="TableNormal"/>
    <w:uiPriority w:val="70"/>
    <w:rsid w:val="001E0AC1"/>
    <w:rPr>
      <w:rFonts w:ascii="Times New (W1)" w:hAnsi="Times New (W1)"/>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1E0AC1"/>
    <w:rPr>
      <w:rFonts w:ascii="Times New (W1)" w:hAnsi="Times New (W1)"/>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1E0AC1"/>
    <w:rPr>
      <w:rFonts w:ascii="Times New (W1)" w:hAnsi="Times New (W1)"/>
      <w:color w:val="FFFFFF"/>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1E0AC1"/>
    <w:rPr>
      <w:rFonts w:ascii="Times New (W1)" w:hAnsi="Times New (W1)"/>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1E0AC1"/>
    <w:rPr>
      <w:rFonts w:ascii="Times New (W1)" w:hAnsi="Times New (W1)"/>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1E0AC1"/>
    <w:rPr>
      <w:rFonts w:ascii="Times New (W1)" w:hAnsi="Times New (W1)"/>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1E0AC1"/>
    <w:rPr>
      <w:rFonts w:ascii="Times New (W1)" w:hAnsi="Times New (W1)"/>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IntenseEmphasis">
    <w:name w:val="Intense Emphasis"/>
    <w:uiPriority w:val="21"/>
    <w:rsid w:val="001E0AC1"/>
    <w:rPr>
      <w:b/>
      <w:bCs/>
      <w:i/>
      <w:iCs/>
      <w:color w:val="4F81BD"/>
    </w:rPr>
  </w:style>
  <w:style w:type="paragraph" w:styleId="IntenseQuote">
    <w:name w:val="Intense Quote"/>
    <w:basedOn w:val="Normal"/>
    <w:next w:val="Normal"/>
    <w:link w:val="IntenseQuoteChar"/>
    <w:uiPriority w:val="30"/>
    <w:rsid w:val="001E0AC1"/>
    <w:pPr>
      <w:pBdr>
        <w:bottom w:val="single" w:sz="4" w:space="4" w:color="4F81BD"/>
      </w:pBdr>
      <w:spacing w:before="200" w:after="280"/>
      <w:ind w:left="936" w:right="936"/>
    </w:pPr>
    <w:rPr>
      <w:b/>
      <w:bCs/>
      <w:i/>
      <w:iCs/>
      <w:color w:val="4F81BD"/>
      <w:lang w:eastAsia="en-AU"/>
    </w:rPr>
  </w:style>
  <w:style w:type="character" w:customStyle="1" w:styleId="IntenseQuoteChar">
    <w:name w:val="Intense Quote Char"/>
    <w:link w:val="IntenseQuote"/>
    <w:uiPriority w:val="30"/>
    <w:rsid w:val="001E0AC1"/>
    <w:rPr>
      <w:b/>
      <w:bCs/>
      <w:i/>
      <w:iCs/>
      <w:color w:val="4F81BD"/>
      <w:sz w:val="26"/>
    </w:rPr>
  </w:style>
  <w:style w:type="character" w:styleId="IntenseReference">
    <w:name w:val="Intense Reference"/>
    <w:uiPriority w:val="32"/>
    <w:rsid w:val="001E0AC1"/>
    <w:rPr>
      <w:b/>
      <w:bCs/>
      <w:smallCaps/>
      <w:color w:val="C0504D"/>
      <w:spacing w:val="5"/>
      <w:u w:val="single"/>
    </w:rPr>
  </w:style>
  <w:style w:type="table" w:customStyle="1" w:styleId="LightGrid1">
    <w:name w:val="Light Grid1"/>
    <w:basedOn w:val="TableNormal"/>
    <w:uiPriority w:val="62"/>
    <w:rsid w:val="001E0AC1"/>
    <w:rPr>
      <w:rFonts w:ascii="Times New (W1)" w:hAnsi="Times New (W1)"/>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1E0AC1"/>
    <w:rPr>
      <w:rFonts w:ascii="Times New (W1)" w:hAnsi="Times New (W1)"/>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1E0AC1"/>
    <w:rPr>
      <w:rFonts w:ascii="Times New (W1)" w:hAnsi="Times New (W1)"/>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1E0AC1"/>
    <w:rPr>
      <w:rFonts w:ascii="Times New (W1)" w:hAnsi="Times New (W1)"/>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1E0AC1"/>
    <w:rPr>
      <w:rFonts w:ascii="Times New (W1)" w:hAnsi="Times New (W1)"/>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1E0AC1"/>
    <w:rPr>
      <w:rFonts w:ascii="Times New (W1)" w:hAnsi="Times New (W1)"/>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1E0AC1"/>
    <w:rPr>
      <w:rFonts w:ascii="Times New (W1)" w:hAnsi="Times New (W1)"/>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1E0AC1"/>
    <w:rPr>
      <w:rFonts w:ascii="Times New (W1)" w:hAnsi="Times New (W1)"/>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1E0AC1"/>
    <w:rPr>
      <w:rFonts w:ascii="Times New (W1)" w:hAnsi="Times New (W1)"/>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1E0AC1"/>
    <w:rPr>
      <w:rFonts w:ascii="Times New (W1)" w:hAnsi="Times New (W1)"/>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1E0AC1"/>
    <w:rPr>
      <w:rFonts w:ascii="Times New (W1)" w:hAnsi="Times New (W1)"/>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1E0AC1"/>
    <w:rPr>
      <w:rFonts w:ascii="Times New (W1)" w:hAnsi="Times New (W1)"/>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1E0AC1"/>
    <w:rPr>
      <w:rFonts w:ascii="Times New (W1)" w:hAnsi="Times New (W1)"/>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1E0AC1"/>
    <w:rPr>
      <w:rFonts w:ascii="Times New (W1)" w:hAnsi="Times New (W1)"/>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1E0AC1"/>
    <w:rPr>
      <w:rFonts w:ascii="Times New (W1)" w:hAnsi="Times New (W1)"/>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1E0AC1"/>
    <w:rPr>
      <w:rFonts w:ascii="Times New (W1)" w:hAnsi="Times New (W1)"/>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1E0AC1"/>
    <w:rPr>
      <w:rFonts w:ascii="Times New (W1)" w:hAnsi="Times New (W1)"/>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1E0AC1"/>
    <w:rPr>
      <w:rFonts w:ascii="Times New (W1)" w:hAnsi="Times New (W1)"/>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1E0AC1"/>
    <w:rPr>
      <w:rFonts w:ascii="Times New (W1)" w:hAnsi="Times New (W1)"/>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1E0AC1"/>
    <w:rPr>
      <w:rFonts w:ascii="Times New (W1)" w:hAnsi="Times New (W1)"/>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1E0AC1"/>
    <w:rPr>
      <w:rFonts w:ascii="Times New (W1)" w:hAnsi="Times New (W1)"/>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Grid11">
    <w:name w:val="Medium Grid 11"/>
    <w:basedOn w:val="TableNormal"/>
    <w:uiPriority w:val="67"/>
    <w:rsid w:val="001E0AC1"/>
    <w:rPr>
      <w:rFonts w:ascii="Times New (W1)" w:hAnsi="Times New (W1)"/>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1E0AC1"/>
    <w:rPr>
      <w:rFonts w:ascii="Times New (W1)" w:hAnsi="Times New (W1)"/>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1E0AC1"/>
    <w:rPr>
      <w:rFonts w:ascii="Times New (W1)" w:hAnsi="Times New (W1)"/>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1E0AC1"/>
    <w:rPr>
      <w:rFonts w:ascii="Times New (W1)" w:hAnsi="Times New (W1)"/>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1E0AC1"/>
    <w:rPr>
      <w:rFonts w:ascii="Times New (W1)" w:hAnsi="Times New (W1)"/>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1E0AC1"/>
    <w:rPr>
      <w:rFonts w:ascii="Times New (W1)" w:hAnsi="Times New (W1)"/>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1E0AC1"/>
    <w:rPr>
      <w:rFonts w:ascii="Times New (W1)" w:hAnsi="Times New (W1)"/>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1E0AC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1E0AC1"/>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1E0AC1"/>
    <w:rPr>
      <w:rFonts w:ascii="Cambria"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1E0AC1"/>
    <w:rPr>
      <w:rFonts w:ascii="Cambria"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1E0AC1"/>
    <w:rPr>
      <w:rFonts w:ascii="Cambria"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1E0AC1"/>
    <w:rPr>
      <w:rFonts w:ascii="Cambria"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1E0AC1"/>
    <w:rPr>
      <w:rFonts w:ascii="Cambria"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1E0AC1"/>
    <w:rPr>
      <w:rFonts w:ascii="Times New (W1)" w:hAnsi="Times New (W1)"/>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1E0AC1"/>
    <w:rPr>
      <w:rFonts w:ascii="Times New (W1)" w:hAnsi="Times New (W1)"/>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1E0AC1"/>
    <w:rPr>
      <w:rFonts w:ascii="Times New (W1)" w:hAnsi="Times New (W1)"/>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1E0AC1"/>
    <w:rPr>
      <w:rFonts w:ascii="Times New (W1)" w:hAnsi="Times New (W1)"/>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1E0AC1"/>
    <w:rPr>
      <w:rFonts w:ascii="Times New (W1)" w:hAnsi="Times New (W1)"/>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1E0AC1"/>
    <w:rPr>
      <w:rFonts w:ascii="Times New (W1)" w:hAnsi="Times New (W1)"/>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1E0AC1"/>
    <w:rPr>
      <w:rFonts w:ascii="Times New (W1)" w:hAnsi="Times New (W1)"/>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1E0AC1"/>
    <w:rPr>
      <w:rFonts w:ascii="Times New (W1)" w:hAnsi="Times New (W1)"/>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1E0AC1"/>
    <w:rPr>
      <w:rFonts w:ascii="Times New (W1)" w:hAnsi="Times New (W1)"/>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1E0AC1"/>
    <w:rPr>
      <w:rFonts w:ascii="Times New (W1)" w:hAnsi="Times New (W1)"/>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1E0AC1"/>
    <w:rPr>
      <w:rFonts w:ascii="Times New (W1)" w:hAnsi="Times New (W1)"/>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1E0AC1"/>
    <w:rPr>
      <w:rFonts w:ascii="Times New (W1)" w:hAnsi="Times New (W1)"/>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1E0AC1"/>
    <w:rPr>
      <w:rFonts w:ascii="Times New (W1)" w:hAnsi="Times New (W1)"/>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1E0AC1"/>
    <w:rPr>
      <w:rFonts w:ascii="Times New (W1)" w:hAnsi="Times New (W1)"/>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1E0AC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1E0AC1"/>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1E0AC1"/>
    <w:rPr>
      <w:rFonts w:ascii="Cambria"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1E0AC1"/>
    <w:rPr>
      <w:rFonts w:ascii="Cambria"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1E0AC1"/>
    <w:rPr>
      <w:rFonts w:ascii="Cambria"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1E0AC1"/>
    <w:rPr>
      <w:rFonts w:ascii="Cambria"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1E0AC1"/>
    <w:rPr>
      <w:rFonts w:ascii="Cambria"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1E0AC1"/>
    <w:rPr>
      <w:rFonts w:ascii="Times New (W1)" w:hAnsi="Times New (W1)"/>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1E0AC1"/>
    <w:rPr>
      <w:rFonts w:ascii="Times New (W1)" w:hAnsi="Times New (W1)"/>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1E0AC1"/>
    <w:rPr>
      <w:rFonts w:ascii="Times New (W1)" w:hAnsi="Times New (W1)"/>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1E0AC1"/>
    <w:rPr>
      <w:rFonts w:ascii="Times New (W1)" w:hAnsi="Times New (W1)"/>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1E0AC1"/>
    <w:rPr>
      <w:rFonts w:ascii="Times New (W1)" w:hAnsi="Times New (W1)"/>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1E0AC1"/>
    <w:rPr>
      <w:rFonts w:ascii="Times New (W1)" w:hAnsi="Times New (W1)"/>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1E0AC1"/>
    <w:rPr>
      <w:rFonts w:ascii="Times New (W1)" w:hAnsi="Times New (W1)"/>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1E0AC1"/>
    <w:rPr>
      <w:rFonts w:ascii="Times New (W1)" w:hAnsi="Times New (W1)"/>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1E0AC1"/>
    <w:rPr>
      <w:rFonts w:ascii="Times New (W1)" w:hAnsi="Times New (W1)"/>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1E0AC1"/>
    <w:rPr>
      <w:rFonts w:ascii="Times New (W1)" w:hAnsi="Times New (W1)"/>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1E0AC1"/>
    <w:rPr>
      <w:rFonts w:ascii="Times New (W1)" w:hAnsi="Times New (W1)"/>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1E0AC1"/>
    <w:rPr>
      <w:rFonts w:ascii="Times New (W1)" w:hAnsi="Times New (W1)"/>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1E0AC1"/>
    <w:rPr>
      <w:rFonts w:ascii="Times New (W1)" w:hAnsi="Times New (W1)"/>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1E0AC1"/>
    <w:rPr>
      <w:rFonts w:ascii="Times New (W1)" w:hAnsi="Times New (W1)"/>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1E0AC1"/>
    <w:pPr>
      <w:jc w:val="both"/>
    </w:pPr>
    <w:rPr>
      <w:rFonts w:ascii="Times New (W1)" w:hAnsi="Times New (W1)"/>
      <w:sz w:val="26"/>
      <w:lang w:eastAsia="en-US"/>
    </w:rPr>
  </w:style>
  <w:style w:type="character" w:styleId="PlaceholderText">
    <w:name w:val="Placeholder Text"/>
    <w:uiPriority w:val="99"/>
    <w:semiHidden/>
    <w:rsid w:val="001E0AC1"/>
    <w:rPr>
      <w:color w:val="808080"/>
    </w:rPr>
  </w:style>
  <w:style w:type="character" w:styleId="SubtleEmphasis">
    <w:name w:val="Subtle Emphasis"/>
    <w:uiPriority w:val="19"/>
    <w:rsid w:val="001E0AC1"/>
    <w:rPr>
      <w:i/>
      <w:iCs/>
      <w:color w:val="808080"/>
    </w:rPr>
  </w:style>
  <w:style w:type="character" w:styleId="SubtleReference">
    <w:name w:val="Subtle Reference"/>
    <w:uiPriority w:val="31"/>
    <w:rsid w:val="001E0AC1"/>
    <w:rPr>
      <w:smallCaps/>
      <w:color w:val="C0504D"/>
      <w:u w:val="single"/>
    </w:rPr>
  </w:style>
  <w:style w:type="paragraph" w:styleId="TOCHeading">
    <w:name w:val="TOC Heading"/>
    <w:basedOn w:val="Heading1"/>
    <w:next w:val="Normal"/>
    <w:uiPriority w:val="39"/>
    <w:semiHidden/>
    <w:unhideWhenUsed/>
    <w:qFormat/>
    <w:rsid w:val="001E0AC1"/>
    <w:pPr>
      <w:spacing w:after="60"/>
      <w:jc w:val="both"/>
      <w:outlineLvl w:val="9"/>
    </w:pPr>
    <w:rPr>
      <w:rFonts w:ascii="Cambria" w:hAnsi="Cambria"/>
      <w:bCs/>
      <w:kern w:val="32"/>
      <w:sz w:val="32"/>
      <w:szCs w:val="32"/>
      <w:lang w:eastAsia="en-AU"/>
    </w:rPr>
  </w:style>
  <w:style w:type="paragraph" w:customStyle="1" w:styleId="letterheadbody">
    <w:name w:val="letterhead body"/>
    <w:basedOn w:val="Normal"/>
    <w:rsid w:val="001E0AC1"/>
    <w:pPr>
      <w:tabs>
        <w:tab w:val="left" w:pos="851"/>
      </w:tabs>
      <w:spacing w:after="0"/>
      <w:ind w:left="284"/>
      <w:jc w:val="left"/>
    </w:pPr>
    <w:rPr>
      <w:rFonts w:ascii="Palatino" w:hAnsi="Palatino"/>
      <w:sz w:val="20"/>
      <w:lang w:eastAsia="ja-JP"/>
    </w:rPr>
  </w:style>
  <w:style w:type="character" w:customStyle="1" w:styleId="FootnoteTextChar">
    <w:name w:val="Footnote Text Char"/>
    <w:link w:val="FootnoteText"/>
    <w:rsid w:val="001E0AC1"/>
    <w:rPr>
      <w:sz w:val="22"/>
      <w:lang w:eastAsia="en-US"/>
    </w:rPr>
  </w:style>
  <w:style w:type="character" w:customStyle="1" w:styleId="FooterChar">
    <w:name w:val="Footer Char"/>
    <w:link w:val="Footer"/>
    <w:uiPriority w:val="99"/>
    <w:rsid w:val="003F17A2"/>
    <w:rPr>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footer" w:uiPriority="99"/>
    <w:lsdException w:name="caption" w:semiHidden="0" w:unhideWhenUsed="0"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50D"/>
    <w:pPr>
      <w:spacing w:after="240"/>
      <w:jc w:val="both"/>
    </w:pPr>
    <w:rPr>
      <w:sz w:val="26"/>
      <w:lang w:eastAsia="en-US"/>
    </w:rPr>
  </w:style>
  <w:style w:type="paragraph" w:styleId="Heading1">
    <w:name w:val="heading 1"/>
    <w:basedOn w:val="Normal"/>
    <w:next w:val="Normal"/>
    <w:qFormat/>
    <w:pPr>
      <w:keepNext/>
      <w:spacing w:before="240" w:after="120"/>
      <w:jc w:val="center"/>
      <w:outlineLvl w:val="0"/>
    </w:pPr>
    <w:rPr>
      <w:b/>
      <w:kern w:val="28"/>
      <w:sz w:val="40"/>
    </w:rPr>
  </w:style>
  <w:style w:type="paragraph" w:styleId="Heading2">
    <w:name w:val="heading 2"/>
    <w:basedOn w:val="Normal"/>
    <w:next w:val="Normal"/>
    <w:qFormat/>
    <w:pPr>
      <w:keepNext/>
      <w:spacing w:before="120" w:after="120"/>
      <w:jc w:val="center"/>
      <w:outlineLvl w:val="1"/>
    </w:pPr>
    <w:rPr>
      <w:b/>
      <w:sz w:val="36"/>
    </w:rPr>
  </w:style>
  <w:style w:type="paragraph" w:styleId="Heading3">
    <w:name w:val="heading 3"/>
    <w:basedOn w:val="Normal"/>
    <w:next w:val="Normal"/>
    <w:qFormat/>
    <w:pPr>
      <w:keepNext/>
      <w:spacing w:before="120" w:after="120"/>
      <w:outlineLvl w:val="2"/>
    </w:pPr>
    <w:rPr>
      <w:b/>
      <w:sz w:val="28"/>
    </w:rPr>
  </w:style>
  <w:style w:type="paragraph" w:styleId="Heading4">
    <w:name w:val="heading 4"/>
    <w:basedOn w:val="Normal"/>
    <w:next w:val="Normal"/>
    <w:qFormat/>
    <w:rsid w:val="000A2EBF"/>
    <w:pPr>
      <w:keepNext/>
      <w:numPr>
        <w:ilvl w:val="3"/>
        <w:numId w:val="32"/>
      </w:numPr>
      <w:outlineLvl w:val="3"/>
    </w:pPr>
    <w:rPr>
      <w:b/>
      <w:i/>
    </w:rPr>
  </w:style>
  <w:style w:type="paragraph" w:styleId="Heading5">
    <w:name w:val="heading 5"/>
    <w:basedOn w:val="Normal"/>
    <w:next w:val="Normal"/>
    <w:qFormat/>
    <w:rsid w:val="000A2EBF"/>
    <w:pPr>
      <w:keepNext/>
      <w:numPr>
        <w:ilvl w:val="4"/>
        <w:numId w:val="32"/>
      </w:numPr>
      <w:jc w:val="left"/>
      <w:outlineLvl w:val="4"/>
    </w:pPr>
    <w:rPr>
      <w:i/>
    </w:rPr>
  </w:style>
  <w:style w:type="paragraph" w:styleId="Heading6">
    <w:name w:val="heading 6"/>
    <w:basedOn w:val="Normal"/>
    <w:next w:val="Normal"/>
    <w:qFormat/>
    <w:locked/>
    <w:rsid w:val="000A2EBF"/>
    <w:pPr>
      <w:numPr>
        <w:ilvl w:val="5"/>
        <w:numId w:val="32"/>
      </w:numPr>
      <w:spacing w:before="240" w:after="60"/>
      <w:outlineLvl w:val="5"/>
    </w:pPr>
    <w:rPr>
      <w:i/>
      <w:sz w:val="22"/>
    </w:rPr>
  </w:style>
  <w:style w:type="paragraph" w:styleId="Heading7">
    <w:name w:val="heading 7"/>
    <w:basedOn w:val="Normal"/>
    <w:next w:val="Normal"/>
    <w:qFormat/>
    <w:locked/>
    <w:rsid w:val="000A2EBF"/>
    <w:pPr>
      <w:numPr>
        <w:ilvl w:val="6"/>
        <w:numId w:val="32"/>
      </w:numPr>
      <w:spacing w:before="240" w:after="60"/>
      <w:outlineLvl w:val="6"/>
    </w:pPr>
    <w:rPr>
      <w:rFonts w:ascii="Arial" w:hAnsi="Arial"/>
      <w:sz w:val="20"/>
    </w:rPr>
  </w:style>
  <w:style w:type="paragraph" w:styleId="Heading8">
    <w:name w:val="heading 8"/>
    <w:basedOn w:val="Normal"/>
    <w:next w:val="Normal"/>
    <w:qFormat/>
    <w:locked/>
    <w:rsid w:val="000A2EBF"/>
    <w:pPr>
      <w:numPr>
        <w:ilvl w:val="7"/>
        <w:numId w:val="32"/>
      </w:numPr>
      <w:spacing w:before="240" w:after="60"/>
      <w:outlineLvl w:val="7"/>
    </w:pPr>
    <w:rPr>
      <w:rFonts w:ascii="Arial" w:hAnsi="Arial"/>
      <w:i/>
      <w:sz w:val="20"/>
    </w:rPr>
  </w:style>
  <w:style w:type="paragraph" w:styleId="Heading9">
    <w:name w:val="heading 9"/>
    <w:basedOn w:val="Normal"/>
    <w:next w:val="Normal"/>
    <w:qFormat/>
    <w:locked/>
    <w:rsid w:val="000A2EBF"/>
    <w:pPr>
      <w:numPr>
        <w:ilvl w:val="8"/>
        <w:numId w:val="32"/>
      </w:numPr>
      <w:spacing w:before="240" w:after="60"/>
      <w:outlineLvl w:val="8"/>
    </w:pPr>
    <w:rPr>
      <w:rFonts w:ascii="Arial" w:hAnsi="Arial"/>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customStyle="1" w:styleId="Level1">
    <w:name w:val="Level1"/>
    <w:basedOn w:val="Normal"/>
    <w:rsid w:val="000A2EBF"/>
    <w:pPr>
      <w:numPr>
        <w:numId w:val="32"/>
      </w:numPr>
    </w:pPr>
  </w:style>
  <w:style w:type="paragraph" w:customStyle="1" w:styleId="Level2">
    <w:name w:val="Level2"/>
    <w:basedOn w:val="Normal"/>
    <w:rsid w:val="000A2EBF"/>
    <w:pPr>
      <w:numPr>
        <w:ilvl w:val="1"/>
        <w:numId w:val="32"/>
      </w:numPr>
    </w:pPr>
  </w:style>
  <w:style w:type="paragraph" w:customStyle="1" w:styleId="Level3">
    <w:name w:val="Level3"/>
    <w:basedOn w:val="Normal"/>
    <w:link w:val="Level3Char"/>
    <w:rsid w:val="000A2EBF"/>
    <w:pPr>
      <w:numPr>
        <w:ilvl w:val="2"/>
        <w:numId w:val="32"/>
      </w:numPr>
    </w:pPr>
  </w:style>
  <w:style w:type="paragraph" w:styleId="FootnoteText">
    <w:name w:val="footnote text"/>
    <w:link w:val="FootnoteTextChar"/>
    <w:rsid w:val="00A6738A"/>
    <w:pPr>
      <w:keepLines/>
      <w:spacing w:after="60"/>
      <w:ind w:left="567" w:hanging="567"/>
    </w:pPr>
    <w:rPr>
      <w:sz w:val="22"/>
      <w:lang w:eastAsia="en-US"/>
    </w:rPr>
  </w:style>
  <w:style w:type="character" w:styleId="FootnoteReference">
    <w:name w:val="footnote reference"/>
    <w:semiHidden/>
    <w:rPr>
      <w:vertAlign w:val="superscript"/>
    </w:rPr>
  </w:style>
  <w:style w:type="paragraph" w:styleId="Header">
    <w:name w:val="header"/>
    <w:basedOn w:val="Normal"/>
    <w:semiHidden/>
    <w:pPr>
      <w:tabs>
        <w:tab w:val="center" w:pos="8306"/>
      </w:tabs>
    </w:pPr>
    <w:rPr>
      <w:sz w:val="22"/>
    </w:rPr>
  </w:style>
  <w:style w:type="paragraph" w:styleId="Footer">
    <w:name w:val="footer"/>
    <w:basedOn w:val="Normal"/>
    <w:link w:val="FooterChar"/>
    <w:uiPriority w:val="99"/>
    <w:pPr>
      <w:tabs>
        <w:tab w:val="center" w:pos="4153"/>
        <w:tab w:val="right" w:pos="8306"/>
      </w:tabs>
    </w:pPr>
    <w:rPr>
      <w:sz w:val="22"/>
    </w:rPr>
  </w:style>
  <w:style w:type="paragraph" w:customStyle="1" w:styleId="Bullet2">
    <w:name w:val="Bullet2"/>
    <w:basedOn w:val="Normal"/>
    <w:rsid w:val="00A6738A"/>
    <w:pPr>
      <w:numPr>
        <w:numId w:val="4"/>
      </w:numPr>
      <w:tabs>
        <w:tab w:val="clear" w:pos="1134"/>
        <w:tab w:val="left" w:pos="1418"/>
      </w:tabs>
      <w:ind w:left="1418"/>
    </w:pPr>
  </w:style>
  <w:style w:type="paragraph" w:customStyle="1" w:styleId="Bullet3">
    <w:name w:val="Bullet3"/>
    <w:basedOn w:val="Bullet2"/>
    <w:rsid w:val="00A6738A"/>
    <w:pPr>
      <w:numPr>
        <w:numId w:val="19"/>
      </w:numPr>
      <w:tabs>
        <w:tab w:val="clear" w:pos="1418"/>
        <w:tab w:val="clear" w:pos="1701"/>
        <w:tab w:val="left" w:pos="1985"/>
      </w:tabs>
      <w:ind w:left="1985"/>
    </w:pPr>
  </w:style>
  <w:style w:type="paragraph" w:customStyle="1" w:styleId="Indent">
    <w:name w:val="Indent"/>
    <w:basedOn w:val="Normal"/>
    <w:semiHidden/>
    <w:locked/>
    <w:pPr>
      <w:ind w:left="851" w:right="799"/>
    </w:pPr>
  </w:style>
  <w:style w:type="paragraph" w:styleId="Quote">
    <w:name w:val="Quote"/>
    <w:basedOn w:val="Indent"/>
    <w:qFormat/>
    <w:rsid w:val="005D07D1"/>
    <w:pPr>
      <w:ind w:right="851"/>
    </w:pPr>
    <w:rPr>
      <w:sz w:val="24"/>
    </w:rPr>
  </w:style>
  <w:style w:type="paragraph" w:customStyle="1" w:styleId="REC">
    <w:name w:val="REC"/>
    <w:basedOn w:val="Normal"/>
    <w:rPr>
      <w:b/>
    </w:rPr>
  </w:style>
  <w:style w:type="character" w:styleId="PageNumber">
    <w:name w:val="page number"/>
    <w:basedOn w:val="DefaultParagraphFont"/>
    <w:semiHidden/>
    <w:locked/>
  </w:style>
  <w:style w:type="paragraph" w:styleId="Caption">
    <w:name w:val="caption"/>
    <w:basedOn w:val="Normal"/>
    <w:next w:val="Normal"/>
    <w:qFormat/>
    <w:locked/>
    <w:pPr>
      <w:spacing w:before="120" w:after="120"/>
    </w:pPr>
    <w:rPr>
      <w:i/>
    </w:rPr>
  </w:style>
  <w:style w:type="paragraph" w:styleId="EndnoteText">
    <w:name w:val="endnote text"/>
    <w:basedOn w:val="Normal"/>
    <w:semiHidden/>
    <w:locked/>
    <w:rPr>
      <w:sz w:val="20"/>
    </w:rPr>
  </w:style>
  <w:style w:type="character" w:styleId="EndnoteReference">
    <w:name w:val="endnote reference"/>
    <w:semiHidden/>
    <w:locked/>
    <w:rPr>
      <w:vertAlign w:val="superscript"/>
    </w:rPr>
  </w:style>
  <w:style w:type="paragraph" w:styleId="TOC1">
    <w:name w:val="toc 1"/>
    <w:basedOn w:val="Normal"/>
    <w:next w:val="Normal"/>
    <w:semiHidden/>
    <w:pPr>
      <w:spacing w:before="240" w:after="120"/>
    </w:pPr>
    <w:rPr>
      <w:rFonts w:ascii="Times" w:hAnsi="Times"/>
      <w:b/>
      <w:sz w:val="28"/>
      <w:szCs w:val="28"/>
    </w:rPr>
  </w:style>
  <w:style w:type="paragraph" w:styleId="TOC2">
    <w:name w:val="toc 2"/>
    <w:basedOn w:val="Normal"/>
    <w:next w:val="Normal"/>
    <w:semiHidden/>
    <w:pPr>
      <w:spacing w:after="120"/>
      <w:ind w:left="261"/>
    </w:pPr>
    <w:rPr>
      <w:rFonts w:ascii="Times" w:hAnsi="Times"/>
      <w:b/>
      <w:szCs w:val="26"/>
    </w:rPr>
  </w:style>
  <w:style w:type="paragraph" w:styleId="TOC3">
    <w:name w:val="toc 3"/>
    <w:basedOn w:val="Normal"/>
    <w:next w:val="Normal"/>
    <w:semiHidden/>
    <w:pPr>
      <w:spacing w:after="60"/>
      <w:ind w:left="522"/>
    </w:pPr>
    <w:rPr>
      <w:rFonts w:ascii="Times" w:hAnsi="Times"/>
      <w:szCs w:val="26"/>
    </w:rPr>
  </w:style>
  <w:style w:type="paragraph" w:styleId="TOC4">
    <w:name w:val="toc 4"/>
    <w:basedOn w:val="Normal"/>
    <w:next w:val="Normal"/>
    <w:semiHidden/>
    <w:locked/>
    <w:pPr>
      <w:spacing w:after="60"/>
      <w:ind w:left="720"/>
    </w:pPr>
    <w:rPr>
      <w:rFonts w:ascii="Times" w:hAnsi="Times"/>
      <w:szCs w:val="26"/>
    </w:rPr>
  </w:style>
  <w:style w:type="paragraph" w:styleId="TOC5">
    <w:name w:val="toc 5"/>
    <w:basedOn w:val="Normal"/>
    <w:next w:val="Normal"/>
    <w:semiHidden/>
    <w:locked/>
    <w:pPr>
      <w:spacing w:after="60"/>
      <w:ind w:left="958"/>
    </w:pPr>
    <w:rPr>
      <w:rFonts w:ascii="Times" w:hAnsi="Times"/>
      <w:szCs w:val="26"/>
    </w:rPr>
  </w:style>
  <w:style w:type="paragraph" w:styleId="TOC6">
    <w:name w:val="toc 6"/>
    <w:basedOn w:val="Normal"/>
    <w:next w:val="Normal"/>
    <w:semiHidden/>
    <w:locked/>
    <w:pPr>
      <w:ind w:left="1200"/>
    </w:pPr>
  </w:style>
  <w:style w:type="paragraph" w:styleId="TOC7">
    <w:name w:val="toc 7"/>
    <w:basedOn w:val="Normal"/>
    <w:next w:val="Normal"/>
    <w:semiHidden/>
    <w:locked/>
    <w:pPr>
      <w:ind w:left="1440"/>
    </w:pPr>
  </w:style>
  <w:style w:type="paragraph" w:styleId="TOC8">
    <w:name w:val="toc 8"/>
    <w:basedOn w:val="Normal"/>
    <w:next w:val="Normal"/>
    <w:semiHidden/>
    <w:locked/>
    <w:rsid w:val="000B484C"/>
    <w:pPr>
      <w:tabs>
        <w:tab w:val="left" w:pos="851"/>
      </w:tabs>
    </w:pPr>
    <w:rPr>
      <w:b/>
    </w:rPr>
  </w:style>
  <w:style w:type="paragraph" w:styleId="TOC9">
    <w:name w:val="toc 9"/>
    <w:basedOn w:val="Normal"/>
    <w:next w:val="Normal"/>
    <w:semiHidden/>
    <w:locked/>
    <w:rsid w:val="000B484C"/>
    <w:pPr>
      <w:tabs>
        <w:tab w:val="left" w:pos="1418"/>
      </w:tabs>
      <w:ind w:left="1418" w:hanging="567"/>
    </w:pPr>
    <w:rPr>
      <w:b/>
    </w:rPr>
  </w:style>
  <w:style w:type="numbering" w:styleId="111111">
    <w:name w:val="Outline List 2"/>
    <w:basedOn w:val="NoList"/>
    <w:semiHidden/>
    <w:locked/>
    <w:pPr>
      <w:numPr>
        <w:numId w:val="1"/>
      </w:numPr>
    </w:pPr>
  </w:style>
  <w:style w:type="numbering" w:styleId="1ai">
    <w:name w:val="Outline List 1"/>
    <w:basedOn w:val="NoList"/>
    <w:semiHidden/>
    <w:locked/>
    <w:pPr>
      <w:numPr>
        <w:numId w:val="2"/>
      </w:numPr>
    </w:pPr>
  </w:style>
  <w:style w:type="numbering" w:styleId="ArticleSection">
    <w:name w:val="Outline List 3"/>
    <w:basedOn w:val="NoList"/>
    <w:semiHidden/>
    <w:locked/>
    <w:pPr>
      <w:numPr>
        <w:numId w:val="3"/>
      </w:numPr>
    </w:pPr>
  </w:style>
  <w:style w:type="paragraph" w:styleId="BalloonText">
    <w:name w:val="Balloon Text"/>
    <w:basedOn w:val="Normal"/>
    <w:semiHidden/>
    <w:rPr>
      <w:rFonts w:ascii="Tahoma" w:hAnsi="Tahoma" w:cs="Tahoma"/>
      <w:sz w:val="16"/>
      <w:szCs w:val="16"/>
    </w:rPr>
  </w:style>
  <w:style w:type="paragraph" w:styleId="BlockText">
    <w:name w:val="Block Text"/>
    <w:basedOn w:val="Normal"/>
    <w:semiHidden/>
    <w:locked/>
    <w:pPr>
      <w:spacing w:after="120"/>
      <w:ind w:left="1440" w:right="1440"/>
    </w:pPr>
  </w:style>
  <w:style w:type="paragraph" w:styleId="BodyText">
    <w:name w:val="Body Text"/>
    <w:basedOn w:val="Normal"/>
    <w:semiHidden/>
    <w:locked/>
    <w:pPr>
      <w:spacing w:after="120"/>
    </w:pPr>
  </w:style>
  <w:style w:type="paragraph" w:styleId="BodyText2">
    <w:name w:val="Body Text 2"/>
    <w:basedOn w:val="Normal"/>
    <w:semiHidden/>
    <w:locked/>
    <w:pPr>
      <w:spacing w:after="120" w:line="480" w:lineRule="auto"/>
    </w:pPr>
  </w:style>
  <w:style w:type="paragraph" w:styleId="BodyText3">
    <w:name w:val="Body Text 3"/>
    <w:basedOn w:val="Normal"/>
    <w:semiHidden/>
    <w:locked/>
    <w:pPr>
      <w:spacing w:after="120"/>
    </w:pPr>
    <w:rPr>
      <w:sz w:val="16"/>
      <w:szCs w:val="16"/>
    </w:rPr>
  </w:style>
  <w:style w:type="paragraph" w:styleId="BodyTextFirstIndent">
    <w:name w:val="Body Text First Indent"/>
    <w:basedOn w:val="BodyText"/>
    <w:semiHidden/>
    <w:locked/>
    <w:pPr>
      <w:ind w:firstLine="210"/>
    </w:pPr>
  </w:style>
  <w:style w:type="paragraph" w:styleId="BodyTextIndent">
    <w:name w:val="Body Text Indent"/>
    <w:basedOn w:val="Normal"/>
    <w:semiHidden/>
    <w:locked/>
    <w:pPr>
      <w:spacing w:after="120"/>
      <w:ind w:left="283"/>
    </w:pPr>
  </w:style>
  <w:style w:type="paragraph" w:styleId="BodyTextFirstIndent2">
    <w:name w:val="Body Text First Indent 2"/>
    <w:basedOn w:val="BodyTextIndent"/>
    <w:semiHidden/>
    <w:locked/>
    <w:pPr>
      <w:ind w:firstLine="210"/>
    </w:pPr>
  </w:style>
  <w:style w:type="paragraph" w:styleId="BodyTextIndent2">
    <w:name w:val="Body Text Indent 2"/>
    <w:basedOn w:val="Normal"/>
    <w:semiHidden/>
    <w:locked/>
    <w:pPr>
      <w:spacing w:after="120" w:line="480" w:lineRule="auto"/>
      <w:ind w:left="283"/>
    </w:pPr>
  </w:style>
  <w:style w:type="paragraph" w:styleId="BodyTextIndent3">
    <w:name w:val="Body Text Indent 3"/>
    <w:basedOn w:val="Normal"/>
    <w:semiHidden/>
    <w:locked/>
    <w:pPr>
      <w:spacing w:after="120"/>
      <w:ind w:left="283"/>
    </w:pPr>
    <w:rPr>
      <w:sz w:val="16"/>
      <w:szCs w:val="16"/>
    </w:rPr>
  </w:style>
  <w:style w:type="paragraph" w:styleId="Closing">
    <w:name w:val="Closing"/>
    <w:basedOn w:val="Normal"/>
    <w:semiHidden/>
    <w:locked/>
    <w:pPr>
      <w:ind w:left="4252"/>
    </w:pPr>
  </w:style>
  <w:style w:type="character" w:styleId="CommentReference">
    <w:name w:val="annotation reference"/>
    <w:semiHidden/>
    <w:locked/>
    <w:rPr>
      <w:sz w:val="16"/>
      <w:szCs w:val="16"/>
    </w:rPr>
  </w:style>
  <w:style w:type="paragraph" w:styleId="CommentText">
    <w:name w:val="annotation text"/>
    <w:basedOn w:val="Normal"/>
    <w:semiHidden/>
    <w:locked/>
    <w:rPr>
      <w:sz w:val="20"/>
    </w:rPr>
  </w:style>
  <w:style w:type="paragraph" w:styleId="CommentSubject">
    <w:name w:val="annotation subject"/>
    <w:basedOn w:val="CommentText"/>
    <w:next w:val="CommentText"/>
    <w:semiHidden/>
    <w:locked/>
    <w:rPr>
      <w:b/>
      <w:bCs/>
    </w:rPr>
  </w:style>
  <w:style w:type="paragraph" w:styleId="Date">
    <w:name w:val="Date"/>
    <w:basedOn w:val="Normal"/>
    <w:next w:val="Normal"/>
    <w:semiHidden/>
    <w:locked/>
  </w:style>
  <w:style w:type="paragraph" w:styleId="DocumentMap">
    <w:name w:val="Document Map"/>
    <w:basedOn w:val="Normal"/>
    <w:semiHidden/>
    <w:locked/>
    <w:pPr>
      <w:shd w:val="clear" w:color="auto" w:fill="000080"/>
    </w:pPr>
    <w:rPr>
      <w:rFonts w:ascii="Tahoma" w:hAnsi="Tahoma" w:cs="Tahoma"/>
      <w:sz w:val="20"/>
    </w:rPr>
  </w:style>
  <w:style w:type="paragraph" w:styleId="E-mailSignature">
    <w:name w:val="E-mail Signature"/>
    <w:basedOn w:val="Normal"/>
    <w:semiHidden/>
    <w:locked/>
  </w:style>
  <w:style w:type="character" w:styleId="Emphasis">
    <w:name w:val="Emphasis"/>
    <w:qFormat/>
    <w:locked/>
    <w:rPr>
      <w:i/>
      <w:iCs/>
    </w:rPr>
  </w:style>
  <w:style w:type="paragraph" w:styleId="EnvelopeAddress">
    <w:name w:val="envelope address"/>
    <w:basedOn w:val="Normal"/>
    <w:semiHidden/>
    <w:locked/>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locked/>
    <w:rPr>
      <w:rFonts w:ascii="Arial" w:hAnsi="Arial" w:cs="Arial"/>
      <w:sz w:val="20"/>
    </w:rPr>
  </w:style>
  <w:style w:type="character" w:styleId="FollowedHyperlink">
    <w:name w:val="FollowedHyperlink"/>
    <w:semiHidden/>
    <w:locked/>
    <w:rPr>
      <w:color w:val="800080"/>
      <w:u w:val="single"/>
    </w:rPr>
  </w:style>
  <w:style w:type="character" w:styleId="HTMLAcronym">
    <w:name w:val="HTML Acronym"/>
    <w:basedOn w:val="DefaultParagraphFont"/>
    <w:semiHidden/>
    <w:locked/>
  </w:style>
  <w:style w:type="paragraph" w:styleId="HTMLAddress">
    <w:name w:val="HTML Address"/>
    <w:basedOn w:val="Normal"/>
    <w:semiHidden/>
    <w:locked/>
    <w:rPr>
      <w:i/>
      <w:iCs/>
    </w:rPr>
  </w:style>
  <w:style w:type="character" w:styleId="HTMLCite">
    <w:name w:val="HTML Cite"/>
    <w:semiHidden/>
    <w:locked/>
    <w:rPr>
      <w:i/>
      <w:iCs/>
    </w:rPr>
  </w:style>
  <w:style w:type="character" w:styleId="HTMLCode">
    <w:name w:val="HTML Code"/>
    <w:semiHidden/>
    <w:locked/>
    <w:rPr>
      <w:rFonts w:ascii="Courier New" w:hAnsi="Courier New" w:cs="Courier New"/>
      <w:sz w:val="20"/>
      <w:szCs w:val="20"/>
    </w:rPr>
  </w:style>
  <w:style w:type="character" w:styleId="HTMLDefinition">
    <w:name w:val="HTML Definition"/>
    <w:semiHidden/>
    <w:locked/>
    <w:rPr>
      <w:i/>
      <w:iCs/>
    </w:rPr>
  </w:style>
  <w:style w:type="character" w:styleId="HTMLKeyboard">
    <w:name w:val="HTML Keyboard"/>
    <w:semiHidden/>
    <w:locked/>
    <w:rPr>
      <w:rFonts w:ascii="Courier New" w:hAnsi="Courier New" w:cs="Courier New"/>
      <w:sz w:val="20"/>
      <w:szCs w:val="20"/>
    </w:rPr>
  </w:style>
  <w:style w:type="paragraph" w:styleId="HTMLPreformatted">
    <w:name w:val="HTML Preformatted"/>
    <w:basedOn w:val="Normal"/>
    <w:semiHidden/>
    <w:locked/>
    <w:rPr>
      <w:rFonts w:ascii="Courier New" w:hAnsi="Courier New" w:cs="Courier New"/>
      <w:sz w:val="20"/>
    </w:rPr>
  </w:style>
  <w:style w:type="character" w:styleId="HTMLSample">
    <w:name w:val="HTML Sample"/>
    <w:semiHidden/>
    <w:locked/>
    <w:rPr>
      <w:rFonts w:ascii="Courier New" w:hAnsi="Courier New" w:cs="Courier New"/>
    </w:rPr>
  </w:style>
  <w:style w:type="character" w:styleId="HTMLTypewriter">
    <w:name w:val="HTML Typewriter"/>
    <w:semiHidden/>
    <w:locked/>
    <w:rPr>
      <w:rFonts w:ascii="Courier New" w:hAnsi="Courier New" w:cs="Courier New"/>
      <w:sz w:val="20"/>
      <w:szCs w:val="20"/>
    </w:rPr>
  </w:style>
  <w:style w:type="character" w:styleId="HTMLVariable">
    <w:name w:val="HTML Variable"/>
    <w:semiHidden/>
    <w:locked/>
    <w:rPr>
      <w:i/>
      <w:iCs/>
    </w:rPr>
  </w:style>
  <w:style w:type="character" w:styleId="Hyperlink">
    <w:name w:val="Hyperlink"/>
    <w:rPr>
      <w:color w:val="0000FF"/>
      <w:u w:val="single"/>
    </w:rPr>
  </w:style>
  <w:style w:type="paragraph" w:styleId="Index1">
    <w:name w:val="index 1"/>
    <w:basedOn w:val="Normal"/>
    <w:next w:val="Normal"/>
    <w:semiHidden/>
    <w:locked/>
    <w:pPr>
      <w:ind w:left="260" w:hanging="260"/>
    </w:pPr>
  </w:style>
  <w:style w:type="paragraph" w:styleId="Index2">
    <w:name w:val="index 2"/>
    <w:basedOn w:val="Normal"/>
    <w:next w:val="Normal"/>
    <w:semiHidden/>
    <w:locked/>
    <w:pPr>
      <w:ind w:left="520" w:hanging="260"/>
    </w:pPr>
  </w:style>
  <w:style w:type="paragraph" w:styleId="Index3">
    <w:name w:val="index 3"/>
    <w:basedOn w:val="Normal"/>
    <w:next w:val="Normal"/>
    <w:semiHidden/>
    <w:locked/>
    <w:pPr>
      <w:ind w:left="780" w:hanging="260"/>
    </w:pPr>
  </w:style>
  <w:style w:type="paragraph" w:styleId="Index4">
    <w:name w:val="index 4"/>
    <w:basedOn w:val="Normal"/>
    <w:next w:val="Normal"/>
    <w:semiHidden/>
    <w:locked/>
    <w:pPr>
      <w:ind w:left="1040" w:hanging="260"/>
    </w:pPr>
  </w:style>
  <w:style w:type="paragraph" w:styleId="Index5">
    <w:name w:val="index 5"/>
    <w:basedOn w:val="Normal"/>
    <w:next w:val="Normal"/>
    <w:semiHidden/>
    <w:locked/>
    <w:pPr>
      <w:ind w:left="1300" w:hanging="260"/>
    </w:pPr>
  </w:style>
  <w:style w:type="paragraph" w:styleId="Index6">
    <w:name w:val="index 6"/>
    <w:basedOn w:val="Normal"/>
    <w:next w:val="Normal"/>
    <w:semiHidden/>
    <w:locked/>
    <w:pPr>
      <w:ind w:left="1560" w:hanging="260"/>
    </w:pPr>
  </w:style>
  <w:style w:type="paragraph" w:styleId="Index7">
    <w:name w:val="index 7"/>
    <w:basedOn w:val="Normal"/>
    <w:next w:val="Normal"/>
    <w:semiHidden/>
    <w:locked/>
    <w:pPr>
      <w:ind w:left="1820" w:hanging="260"/>
    </w:pPr>
  </w:style>
  <w:style w:type="paragraph" w:styleId="Index8">
    <w:name w:val="index 8"/>
    <w:basedOn w:val="Normal"/>
    <w:next w:val="Normal"/>
    <w:semiHidden/>
    <w:locked/>
    <w:pPr>
      <w:ind w:left="2080" w:hanging="260"/>
    </w:pPr>
  </w:style>
  <w:style w:type="paragraph" w:styleId="Index9">
    <w:name w:val="index 9"/>
    <w:basedOn w:val="Normal"/>
    <w:next w:val="Normal"/>
    <w:semiHidden/>
    <w:locked/>
    <w:pPr>
      <w:ind w:left="2340" w:hanging="260"/>
    </w:pPr>
  </w:style>
  <w:style w:type="paragraph" w:styleId="IndexHeading">
    <w:name w:val="index heading"/>
    <w:basedOn w:val="Normal"/>
    <w:next w:val="Index1"/>
    <w:semiHidden/>
    <w:locked/>
    <w:rPr>
      <w:rFonts w:ascii="Arial" w:hAnsi="Arial" w:cs="Arial"/>
      <w:b/>
      <w:bCs/>
    </w:rPr>
  </w:style>
  <w:style w:type="character" w:styleId="LineNumber">
    <w:name w:val="line number"/>
    <w:basedOn w:val="DefaultParagraphFont"/>
    <w:semiHidden/>
    <w:locked/>
  </w:style>
  <w:style w:type="paragraph" w:styleId="List">
    <w:name w:val="List"/>
    <w:basedOn w:val="Normal"/>
    <w:semiHidden/>
    <w:locked/>
    <w:pPr>
      <w:ind w:left="283" w:hanging="283"/>
    </w:pPr>
  </w:style>
  <w:style w:type="paragraph" w:styleId="List2">
    <w:name w:val="List 2"/>
    <w:basedOn w:val="Normal"/>
    <w:semiHidden/>
    <w:locked/>
    <w:pPr>
      <w:ind w:left="566" w:hanging="283"/>
    </w:pPr>
  </w:style>
  <w:style w:type="paragraph" w:styleId="List3">
    <w:name w:val="List 3"/>
    <w:basedOn w:val="Normal"/>
    <w:semiHidden/>
    <w:locked/>
    <w:pPr>
      <w:ind w:left="849" w:hanging="283"/>
    </w:pPr>
  </w:style>
  <w:style w:type="paragraph" w:styleId="List4">
    <w:name w:val="List 4"/>
    <w:basedOn w:val="Normal"/>
    <w:semiHidden/>
    <w:locked/>
    <w:pPr>
      <w:ind w:left="1132" w:hanging="283"/>
    </w:pPr>
  </w:style>
  <w:style w:type="paragraph" w:styleId="List5">
    <w:name w:val="List 5"/>
    <w:basedOn w:val="Normal"/>
    <w:semiHidden/>
    <w:locked/>
    <w:pPr>
      <w:ind w:left="1415" w:hanging="283"/>
    </w:pPr>
  </w:style>
  <w:style w:type="paragraph" w:styleId="ListBullet">
    <w:name w:val="List Bullet"/>
    <w:basedOn w:val="Normal"/>
    <w:semiHidden/>
    <w:locked/>
    <w:pPr>
      <w:numPr>
        <w:numId w:val="7"/>
      </w:numPr>
    </w:pPr>
  </w:style>
  <w:style w:type="paragraph" w:styleId="ListBullet2">
    <w:name w:val="List Bullet 2"/>
    <w:basedOn w:val="Normal"/>
    <w:semiHidden/>
    <w:locked/>
    <w:pPr>
      <w:numPr>
        <w:numId w:val="8"/>
      </w:numPr>
    </w:pPr>
  </w:style>
  <w:style w:type="paragraph" w:styleId="ListBullet3">
    <w:name w:val="List Bullet 3"/>
    <w:basedOn w:val="Normal"/>
    <w:semiHidden/>
    <w:locked/>
    <w:pPr>
      <w:numPr>
        <w:numId w:val="9"/>
      </w:numPr>
    </w:pPr>
  </w:style>
  <w:style w:type="paragraph" w:styleId="ListBullet4">
    <w:name w:val="List Bullet 4"/>
    <w:basedOn w:val="Normal"/>
    <w:semiHidden/>
    <w:locked/>
    <w:pPr>
      <w:numPr>
        <w:numId w:val="10"/>
      </w:numPr>
    </w:pPr>
  </w:style>
  <w:style w:type="paragraph" w:styleId="ListBullet5">
    <w:name w:val="List Bullet 5"/>
    <w:basedOn w:val="Normal"/>
    <w:semiHidden/>
    <w:locked/>
    <w:pPr>
      <w:numPr>
        <w:numId w:val="11"/>
      </w:numPr>
    </w:pPr>
  </w:style>
  <w:style w:type="paragraph" w:styleId="ListContinue">
    <w:name w:val="List Continue"/>
    <w:basedOn w:val="Normal"/>
    <w:semiHidden/>
    <w:locked/>
    <w:pPr>
      <w:spacing w:after="120"/>
      <w:ind w:left="283"/>
    </w:pPr>
  </w:style>
  <w:style w:type="paragraph" w:styleId="ListContinue2">
    <w:name w:val="List Continue 2"/>
    <w:basedOn w:val="Normal"/>
    <w:semiHidden/>
    <w:locked/>
    <w:pPr>
      <w:spacing w:after="120"/>
      <w:ind w:left="566"/>
    </w:pPr>
  </w:style>
  <w:style w:type="paragraph" w:styleId="ListContinue3">
    <w:name w:val="List Continue 3"/>
    <w:basedOn w:val="Normal"/>
    <w:semiHidden/>
    <w:locked/>
    <w:pPr>
      <w:spacing w:after="120"/>
      <w:ind w:left="849"/>
    </w:pPr>
  </w:style>
  <w:style w:type="paragraph" w:styleId="ListContinue4">
    <w:name w:val="List Continue 4"/>
    <w:basedOn w:val="Normal"/>
    <w:semiHidden/>
    <w:locked/>
    <w:pPr>
      <w:spacing w:after="120"/>
      <w:ind w:left="1132"/>
    </w:pPr>
  </w:style>
  <w:style w:type="paragraph" w:styleId="ListContinue5">
    <w:name w:val="List Continue 5"/>
    <w:basedOn w:val="Normal"/>
    <w:semiHidden/>
    <w:locked/>
    <w:pPr>
      <w:spacing w:after="120"/>
      <w:ind w:left="1415"/>
    </w:pPr>
  </w:style>
  <w:style w:type="paragraph" w:styleId="ListNumber">
    <w:name w:val="List Number"/>
    <w:basedOn w:val="Normal"/>
    <w:semiHidden/>
    <w:locked/>
    <w:pPr>
      <w:numPr>
        <w:numId w:val="12"/>
      </w:numPr>
    </w:pPr>
  </w:style>
  <w:style w:type="paragraph" w:styleId="ListNumber2">
    <w:name w:val="List Number 2"/>
    <w:basedOn w:val="Normal"/>
    <w:semiHidden/>
    <w:locked/>
    <w:pPr>
      <w:numPr>
        <w:numId w:val="13"/>
      </w:numPr>
    </w:pPr>
  </w:style>
  <w:style w:type="paragraph" w:styleId="ListNumber3">
    <w:name w:val="List Number 3"/>
    <w:basedOn w:val="Normal"/>
    <w:semiHidden/>
    <w:locked/>
    <w:pPr>
      <w:numPr>
        <w:numId w:val="14"/>
      </w:numPr>
    </w:pPr>
  </w:style>
  <w:style w:type="paragraph" w:styleId="ListNumber4">
    <w:name w:val="List Number 4"/>
    <w:basedOn w:val="Normal"/>
    <w:semiHidden/>
    <w:locked/>
    <w:pPr>
      <w:numPr>
        <w:numId w:val="15"/>
      </w:numPr>
    </w:pPr>
  </w:style>
  <w:style w:type="paragraph" w:styleId="ListNumber5">
    <w:name w:val="List Number 5"/>
    <w:basedOn w:val="Normal"/>
    <w:semiHidden/>
    <w:locked/>
    <w:pPr>
      <w:numPr>
        <w:numId w:val="16"/>
      </w:numPr>
    </w:pPr>
  </w:style>
  <w:style w:type="paragraph" w:styleId="MacroText">
    <w:name w:val="macro"/>
    <w:semiHidden/>
    <w:locked/>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eastAsia="en-US"/>
    </w:rPr>
  </w:style>
  <w:style w:type="paragraph" w:styleId="MessageHeader">
    <w:name w:val="Message Header"/>
    <w:basedOn w:val="Normal"/>
    <w:semiHidden/>
    <w:locke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locked/>
    <w:rPr>
      <w:sz w:val="24"/>
      <w:szCs w:val="24"/>
    </w:rPr>
  </w:style>
  <w:style w:type="paragraph" w:styleId="NormalIndent">
    <w:name w:val="Normal Indent"/>
    <w:basedOn w:val="Normal"/>
    <w:semiHidden/>
    <w:locked/>
    <w:pPr>
      <w:ind w:left="720"/>
    </w:pPr>
  </w:style>
  <w:style w:type="paragraph" w:styleId="NoteHeading">
    <w:name w:val="Note Heading"/>
    <w:basedOn w:val="Normal"/>
    <w:next w:val="Normal"/>
    <w:semiHidden/>
    <w:locked/>
  </w:style>
  <w:style w:type="paragraph" w:styleId="PlainText">
    <w:name w:val="Plain Text"/>
    <w:basedOn w:val="Normal"/>
    <w:semiHidden/>
    <w:locked/>
    <w:rPr>
      <w:rFonts w:ascii="Courier New" w:hAnsi="Courier New" w:cs="Courier New"/>
      <w:sz w:val="20"/>
    </w:rPr>
  </w:style>
  <w:style w:type="paragraph" w:styleId="Salutation">
    <w:name w:val="Salutation"/>
    <w:basedOn w:val="Normal"/>
    <w:next w:val="Normal"/>
    <w:semiHidden/>
    <w:locked/>
  </w:style>
  <w:style w:type="paragraph" w:styleId="Signature">
    <w:name w:val="Signature"/>
    <w:basedOn w:val="Normal"/>
    <w:semiHidden/>
    <w:locked/>
    <w:pPr>
      <w:ind w:left="4252"/>
    </w:pPr>
  </w:style>
  <w:style w:type="character" w:styleId="Strong">
    <w:name w:val="Strong"/>
    <w:qFormat/>
    <w:locked/>
    <w:rPr>
      <w:b/>
      <w:bCs/>
    </w:rPr>
  </w:style>
  <w:style w:type="paragraph" w:styleId="Subtitle">
    <w:name w:val="Subtitle"/>
    <w:basedOn w:val="Normal"/>
    <w:qFormat/>
    <w:locked/>
    <w:rsid w:val="00A6738A"/>
    <w:pPr>
      <w:spacing w:after="60"/>
      <w:jc w:val="center"/>
    </w:pPr>
    <w:rPr>
      <w:rFonts w:ascii="Arial" w:hAnsi="Arial" w:cs="Arial"/>
      <w:sz w:val="24"/>
      <w:szCs w:val="24"/>
    </w:rPr>
  </w:style>
  <w:style w:type="table" w:styleId="Table3Deffects1">
    <w:name w:val="Table 3D effects 1"/>
    <w:basedOn w:val="TableNormal"/>
    <w:semiHidden/>
    <w:locked/>
    <w:pPr>
      <w:spacing w:after="240"/>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pPr>
      <w:spacing w:after="240"/>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pPr>
      <w:spacing w:after="240"/>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pPr>
      <w:spacing w:after="24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pPr>
      <w:spacing w:after="24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pPr>
      <w:spacing w:after="240"/>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pPr>
      <w:spacing w:after="240"/>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pPr>
      <w:spacing w:after="240"/>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pPr>
      <w:spacing w:after="24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pPr>
      <w:spacing w:after="240"/>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pPr>
      <w:spacing w:after="240"/>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pPr>
      <w:spacing w:after="240"/>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pPr>
      <w:spacing w:after="240"/>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pPr>
      <w:spacing w:after="240"/>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pPr>
      <w:spacing w:after="240"/>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pPr>
      <w:spacing w:after="240"/>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pPr>
      <w:spacing w:after="24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locked/>
    <w:pPr>
      <w:spacing w:after="2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locked/>
    <w:pPr>
      <w:spacing w:after="24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pPr>
      <w:spacing w:after="240"/>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pPr>
      <w:spacing w:after="240"/>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pPr>
      <w:spacing w:after="240"/>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pPr>
      <w:spacing w:after="24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pPr>
      <w:spacing w:after="240"/>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pPr>
      <w:spacing w:after="240"/>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pPr>
      <w:spacing w:after="24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pPr>
      <w:spacing w:after="240"/>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pPr>
      <w:spacing w:after="240"/>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pPr>
      <w:spacing w:after="24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pPr>
      <w:spacing w:after="24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pPr>
      <w:spacing w:after="24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pPr>
      <w:spacing w:after="240"/>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pPr>
      <w:spacing w:after="240"/>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pPr>
      <w:spacing w:after="240"/>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pPr>
      <w:ind w:left="260" w:hanging="260"/>
    </w:pPr>
  </w:style>
  <w:style w:type="paragraph" w:styleId="TableofFigures">
    <w:name w:val="table of figures"/>
    <w:basedOn w:val="Normal"/>
    <w:next w:val="Normal"/>
    <w:semiHidden/>
    <w:locked/>
  </w:style>
  <w:style w:type="table" w:styleId="TableProfessional">
    <w:name w:val="Table Professional"/>
    <w:basedOn w:val="TableNormal"/>
    <w:semiHidden/>
    <w:locked/>
    <w:pPr>
      <w:spacing w:after="24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pPr>
      <w:spacing w:after="24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pPr>
      <w:spacing w:after="240"/>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pPr>
      <w:spacing w:after="240"/>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pPr>
      <w:spacing w:after="240"/>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pPr>
      <w:spacing w:after="240"/>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pPr>
      <w:spacing w:after="2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locked/>
    <w:pPr>
      <w:spacing w:after="24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pPr>
      <w:spacing w:after="240"/>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pPr>
      <w:spacing w:after="240"/>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locked/>
    <w:rsid w:val="00A6738A"/>
    <w:pPr>
      <w:spacing w:before="240" w:after="60"/>
      <w:jc w:val="center"/>
    </w:pPr>
    <w:rPr>
      <w:rFonts w:ascii="Arial" w:hAnsi="Arial" w:cs="Arial"/>
      <w:b/>
      <w:bCs/>
      <w:kern w:val="28"/>
      <w:sz w:val="32"/>
      <w:szCs w:val="32"/>
    </w:rPr>
  </w:style>
  <w:style w:type="paragraph" w:styleId="TOAHeading">
    <w:name w:val="toa heading"/>
    <w:basedOn w:val="Normal"/>
    <w:next w:val="Normal"/>
    <w:semiHidden/>
    <w:locked/>
    <w:pPr>
      <w:spacing w:before="120"/>
    </w:pPr>
    <w:rPr>
      <w:rFonts w:ascii="Arial" w:hAnsi="Arial" w:cs="Arial"/>
      <w:b/>
      <w:bCs/>
      <w:sz w:val="24"/>
      <w:szCs w:val="24"/>
    </w:rPr>
  </w:style>
  <w:style w:type="paragraph" w:customStyle="1" w:styleId="Bullet4">
    <w:name w:val="Bullet4"/>
    <w:basedOn w:val="Bullet3"/>
    <w:rsid w:val="00A6738A"/>
    <w:pPr>
      <w:numPr>
        <w:numId w:val="5"/>
      </w:numPr>
      <w:tabs>
        <w:tab w:val="clear" w:pos="1701"/>
      </w:tabs>
      <w:ind w:left="1985"/>
    </w:pPr>
  </w:style>
  <w:style w:type="paragraph" w:customStyle="1" w:styleId="RecLevel1">
    <w:name w:val="RecLevel1"/>
    <w:basedOn w:val="Level1"/>
    <w:rsid w:val="005D07D1"/>
    <w:rPr>
      <w:b/>
    </w:rPr>
  </w:style>
  <w:style w:type="character" w:customStyle="1" w:styleId="Level3Char">
    <w:name w:val="Level3 Char"/>
    <w:link w:val="Level3"/>
    <w:rsid w:val="000A2EBF"/>
    <w:rPr>
      <w:sz w:val="26"/>
      <w:lang w:eastAsia="en-US"/>
    </w:rPr>
  </w:style>
  <w:style w:type="paragraph" w:customStyle="1" w:styleId="Bullet1">
    <w:name w:val="Bullet1"/>
    <w:basedOn w:val="Bullet2"/>
    <w:rsid w:val="00A6738A"/>
    <w:pPr>
      <w:tabs>
        <w:tab w:val="clear" w:pos="1418"/>
        <w:tab w:val="left" w:pos="851"/>
      </w:tabs>
      <w:ind w:left="851" w:hanging="851"/>
    </w:pPr>
  </w:style>
  <w:style w:type="paragraph" w:customStyle="1" w:styleId="RecBullet1">
    <w:name w:val="RecBullet1"/>
    <w:basedOn w:val="Bullet1"/>
    <w:rsid w:val="00A6738A"/>
    <w:rPr>
      <w:b/>
    </w:rPr>
  </w:style>
  <w:style w:type="paragraph" w:customStyle="1" w:styleId="RecBullet2">
    <w:name w:val="RecBullet2"/>
    <w:basedOn w:val="Bullet2"/>
    <w:rsid w:val="00A6738A"/>
    <w:rPr>
      <w:b/>
    </w:rPr>
  </w:style>
  <w:style w:type="paragraph" w:customStyle="1" w:styleId="JNP2">
    <w:name w:val="JNP2"/>
    <w:basedOn w:val="Normal"/>
    <w:rsid w:val="00C1050D"/>
    <w:pPr>
      <w:spacing w:after="0"/>
      <w:ind w:left="2268"/>
    </w:pPr>
    <w:rPr>
      <w:lang w:val="en-US"/>
    </w:rPr>
  </w:style>
  <w:style w:type="paragraph" w:customStyle="1" w:styleId="JNP3">
    <w:name w:val="JNP3"/>
    <w:basedOn w:val="JNP2"/>
    <w:rsid w:val="008659EF"/>
    <w:pPr>
      <w:tabs>
        <w:tab w:val="left" w:pos="3969"/>
      </w:tabs>
      <w:ind w:left="2552"/>
    </w:pPr>
    <w:rPr>
      <w:sz w:val="24"/>
      <w:lang w:eastAsia="en-AU"/>
    </w:rPr>
  </w:style>
  <w:style w:type="paragraph" w:styleId="ListParagraph">
    <w:name w:val="List Paragraph"/>
    <w:basedOn w:val="Normal"/>
    <w:uiPriority w:val="34"/>
    <w:qFormat/>
    <w:rsid w:val="00BE244B"/>
    <w:pPr>
      <w:spacing w:after="0"/>
      <w:ind w:left="720"/>
      <w:jc w:val="left"/>
    </w:pPr>
    <w:rPr>
      <w:rFonts w:ascii="Calibri" w:hAnsi="Calibri"/>
      <w:sz w:val="22"/>
      <w:szCs w:val="22"/>
    </w:rPr>
  </w:style>
  <w:style w:type="paragraph" w:styleId="Bibliography">
    <w:name w:val="Bibliography"/>
    <w:basedOn w:val="Normal"/>
    <w:next w:val="Normal"/>
    <w:uiPriority w:val="37"/>
    <w:semiHidden/>
    <w:unhideWhenUsed/>
    <w:rsid w:val="001E0AC1"/>
    <w:rPr>
      <w:lang w:eastAsia="en-AU"/>
    </w:rPr>
  </w:style>
  <w:style w:type="character" w:styleId="BookTitle">
    <w:name w:val="Book Title"/>
    <w:uiPriority w:val="33"/>
    <w:rsid w:val="001E0AC1"/>
    <w:rPr>
      <w:b/>
      <w:bCs/>
      <w:smallCaps/>
      <w:spacing w:val="5"/>
    </w:rPr>
  </w:style>
  <w:style w:type="table" w:customStyle="1" w:styleId="ColorfulGrid1">
    <w:name w:val="Colorful Grid1"/>
    <w:basedOn w:val="TableNormal"/>
    <w:uiPriority w:val="73"/>
    <w:rsid w:val="001E0AC1"/>
    <w:rPr>
      <w:rFonts w:ascii="Times New (W1)" w:hAnsi="Times New (W1)"/>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1E0AC1"/>
    <w:rPr>
      <w:rFonts w:ascii="Times New (W1)" w:hAnsi="Times New (W1)"/>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1E0AC1"/>
    <w:rPr>
      <w:rFonts w:ascii="Times New (W1)" w:hAnsi="Times New (W1)"/>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1E0AC1"/>
    <w:rPr>
      <w:rFonts w:ascii="Times New (W1)" w:hAnsi="Times New (W1)"/>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1E0AC1"/>
    <w:rPr>
      <w:rFonts w:ascii="Times New (W1)" w:hAnsi="Times New (W1)"/>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1E0AC1"/>
    <w:rPr>
      <w:rFonts w:ascii="Times New (W1)" w:hAnsi="Times New (W1)"/>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1E0AC1"/>
    <w:rPr>
      <w:rFonts w:ascii="Times New (W1)" w:hAnsi="Times New (W1)"/>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1E0AC1"/>
    <w:rPr>
      <w:rFonts w:ascii="Times New (W1)" w:hAnsi="Times New (W1)"/>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1E0AC1"/>
    <w:rPr>
      <w:rFonts w:ascii="Times New (W1)" w:hAnsi="Times New (W1)"/>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1E0AC1"/>
    <w:rPr>
      <w:rFonts w:ascii="Times New (W1)" w:hAnsi="Times New (W1)"/>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1E0AC1"/>
    <w:rPr>
      <w:rFonts w:ascii="Times New (W1)" w:hAnsi="Times New (W1)"/>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1E0AC1"/>
    <w:rPr>
      <w:rFonts w:ascii="Times New (W1)" w:hAnsi="Times New (W1)"/>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1E0AC1"/>
    <w:rPr>
      <w:rFonts w:ascii="Times New (W1)" w:hAnsi="Times New (W1)"/>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1E0AC1"/>
    <w:rPr>
      <w:rFonts w:ascii="Times New (W1)" w:hAnsi="Times New (W1)"/>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1E0AC1"/>
    <w:rPr>
      <w:rFonts w:ascii="Times New (W1)" w:hAnsi="Times New (W1)"/>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1E0AC1"/>
    <w:rPr>
      <w:rFonts w:ascii="Times New (W1)" w:hAnsi="Times New (W1)"/>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1E0AC1"/>
    <w:rPr>
      <w:rFonts w:ascii="Times New (W1)" w:hAnsi="Times New (W1)"/>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1E0AC1"/>
    <w:rPr>
      <w:rFonts w:ascii="Times New (W1)" w:hAnsi="Times New (W1)"/>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1E0AC1"/>
    <w:rPr>
      <w:rFonts w:ascii="Times New (W1)" w:hAnsi="Times New (W1)"/>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1E0AC1"/>
    <w:rPr>
      <w:rFonts w:ascii="Times New (W1)" w:hAnsi="Times New (W1)"/>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1E0AC1"/>
    <w:rPr>
      <w:rFonts w:ascii="Times New (W1)" w:hAnsi="Times New (W1)"/>
      <w:color w:val="00000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DarkList1">
    <w:name w:val="Dark List1"/>
    <w:basedOn w:val="TableNormal"/>
    <w:uiPriority w:val="70"/>
    <w:rsid w:val="001E0AC1"/>
    <w:rPr>
      <w:rFonts w:ascii="Times New (W1)" w:hAnsi="Times New (W1)"/>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1E0AC1"/>
    <w:rPr>
      <w:rFonts w:ascii="Times New (W1)" w:hAnsi="Times New (W1)"/>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1E0AC1"/>
    <w:rPr>
      <w:rFonts w:ascii="Times New (W1)" w:hAnsi="Times New (W1)"/>
      <w:color w:val="FFFFFF"/>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1E0AC1"/>
    <w:rPr>
      <w:rFonts w:ascii="Times New (W1)" w:hAnsi="Times New (W1)"/>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1E0AC1"/>
    <w:rPr>
      <w:rFonts w:ascii="Times New (W1)" w:hAnsi="Times New (W1)"/>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1E0AC1"/>
    <w:rPr>
      <w:rFonts w:ascii="Times New (W1)" w:hAnsi="Times New (W1)"/>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1E0AC1"/>
    <w:rPr>
      <w:rFonts w:ascii="Times New (W1)" w:hAnsi="Times New (W1)"/>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IntenseEmphasis">
    <w:name w:val="Intense Emphasis"/>
    <w:uiPriority w:val="21"/>
    <w:rsid w:val="001E0AC1"/>
    <w:rPr>
      <w:b/>
      <w:bCs/>
      <w:i/>
      <w:iCs/>
      <w:color w:val="4F81BD"/>
    </w:rPr>
  </w:style>
  <w:style w:type="paragraph" w:styleId="IntenseQuote">
    <w:name w:val="Intense Quote"/>
    <w:basedOn w:val="Normal"/>
    <w:next w:val="Normal"/>
    <w:link w:val="IntenseQuoteChar"/>
    <w:uiPriority w:val="30"/>
    <w:rsid w:val="001E0AC1"/>
    <w:pPr>
      <w:pBdr>
        <w:bottom w:val="single" w:sz="4" w:space="4" w:color="4F81BD"/>
      </w:pBdr>
      <w:spacing w:before="200" w:after="280"/>
      <w:ind w:left="936" w:right="936"/>
    </w:pPr>
    <w:rPr>
      <w:b/>
      <w:bCs/>
      <w:i/>
      <w:iCs/>
      <w:color w:val="4F81BD"/>
      <w:lang w:eastAsia="en-AU"/>
    </w:rPr>
  </w:style>
  <w:style w:type="character" w:customStyle="1" w:styleId="IntenseQuoteChar">
    <w:name w:val="Intense Quote Char"/>
    <w:link w:val="IntenseQuote"/>
    <w:uiPriority w:val="30"/>
    <w:rsid w:val="001E0AC1"/>
    <w:rPr>
      <w:b/>
      <w:bCs/>
      <w:i/>
      <w:iCs/>
      <w:color w:val="4F81BD"/>
      <w:sz w:val="26"/>
    </w:rPr>
  </w:style>
  <w:style w:type="character" w:styleId="IntenseReference">
    <w:name w:val="Intense Reference"/>
    <w:uiPriority w:val="32"/>
    <w:rsid w:val="001E0AC1"/>
    <w:rPr>
      <w:b/>
      <w:bCs/>
      <w:smallCaps/>
      <w:color w:val="C0504D"/>
      <w:spacing w:val="5"/>
      <w:u w:val="single"/>
    </w:rPr>
  </w:style>
  <w:style w:type="table" w:customStyle="1" w:styleId="LightGrid1">
    <w:name w:val="Light Grid1"/>
    <w:basedOn w:val="TableNormal"/>
    <w:uiPriority w:val="62"/>
    <w:rsid w:val="001E0AC1"/>
    <w:rPr>
      <w:rFonts w:ascii="Times New (W1)" w:hAnsi="Times New (W1)"/>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1E0AC1"/>
    <w:rPr>
      <w:rFonts w:ascii="Times New (W1)" w:hAnsi="Times New (W1)"/>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1E0AC1"/>
    <w:rPr>
      <w:rFonts w:ascii="Times New (W1)" w:hAnsi="Times New (W1)"/>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1E0AC1"/>
    <w:rPr>
      <w:rFonts w:ascii="Times New (W1)" w:hAnsi="Times New (W1)"/>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1E0AC1"/>
    <w:rPr>
      <w:rFonts w:ascii="Times New (W1)" w:hAnsi="Times New (W1)"/>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1E0AC1"/>
    <w:rPr>
      <w:rFonts w:ascii="Times New (W1)" w:hAnsi="Times New (W1)"/>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1E0AC1"/>
    <w:rPr>
      <w:rFonts w:ascii="Times New (W1)" w:hAnsi="Times New (W1)"/>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1E0AC1"/>
    <w:rPr>
      <w:rFonts w:ascii="Times New (W1)" w:hAnsi="Times New (W1)"/>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1E0AC1"/>
    <w:rPr>
      <w:rFonts w:ascii="Times New (W1)" w:hAnsi="Times New (W1)"/>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1E0AC1"/>
    <w:rPr>
      <w:rFonts w:ascii="Times New (W1)" w:hAnsi="Times New (W1)"/>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1E0AC1"/>
    <w:rPr>
      <w:rFonts w:ascii="Times New (W1)" w:hAnsi="Times New (W1)"/>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1E0AC1"/>
    <w:rPr>
      <w:rFonts w:ascii="Times New (W1)" w:hAnsi="Times New (W1)"/>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1E0AC1"/>
    <w:rPr>
      <w:rFonts w:ascii="Times New (W1)" w:hAnsi="Times New (W1)"/>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1E0AC1"/>
    <w:rPr>
      <w:rFonts w:ascii="Times New (W1)" w:hAnsi="Times New (W1)"/>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1E0AC1"/>
    <w:rPr>
      <w:rFonts w:ascii="Times New (W1)" w:hAnsi="Times New (W1)"/>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1E0AC1"/>
    <w:rPr>
      <w:rFonts w:ascii="Times New (W1)" w:hAnsi="Times New (W1)"/>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1E0AC1"/>
    <w:rPr>
      <w:rFonts w:ascii="Times New (W1)" w:hAnsi="Times New (W1)"/>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1E0AC1"/>
    <w:rPr>
      <w:rFonts w:ascii="Times New (W1)" w:hAnsi="Times New (W1)"/>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1E0AC1"/>
    <w:rPr>
      <w:rFonts w:ascii="Times New (W1)" w:hAnsi="Times New (W1)"/>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1E0AC1"/>
    <w:rPr>
      <w:rFonts w:ascii="Times New (W1)" w:hAnsi="Times New (W1)"/>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1E0AC1"/>
    <w:rPr>
      <w:rFonts w:ascii="Times New (W1)" w:hAnsi="Times New (W1)"/>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Grid11">
    <w:name w:val="Medium Grid 11"/>
    <w:basedOn w:val="TableNormal"/>
    <w:uiPriority w:val="67"/>
    <w:rsid w:val="001E0AC1"/>
    <w:rPr>
      <w:rFonts w:ascii="Times New (W1)" w:hAnsi="Times New (W1)"/>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1E0AC1"/>
    <w:rPr>
      <w:rFonts w:ascii="Times New (W1)" w:hAnsi="Times New (W1)"/>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1E0AC1"/>
    <w:rPr>
      <w:rFonts w:ascii="Times New (W1)" w:hAnsi="Times New (W1)"/>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1E0AC1"/>
    <w:rPr>
      <w:rFonts w:ascii="Times New (W1)" w:hAnsi="Times New (W1)"/>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1E0AC1"/>
    <w:rPr>
      <w:rFonts w:ascii="Times New (W1)" w:hAnsi="Times New (W1)"/>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1E0AC1"/>
    <w:rPr>
      <w:rFonts w:ascii="Times New (W1)" w:hAnsi="Times New (W1)"/>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1E0AC1"/>
    <w:rPr>
      <w:rFonts w:ascii="Times New (W1)" w:hAnsi="Times New (W1)"/>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1E0AC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1E0AC1"/>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1E0AC1"/>
    <w:rPr>
      <w:rFonts w:ascii="Cambria"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1E0AC1"/>
    <w:rPr>
      <w:rFonts w:ascii="Cambria"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1E0AC1"/>
    <w:rPr>
      <w:rFonts w:ascii="Cambria"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1E0AC1"/>
    <w:rPr>
      <w:rFonts w:ascii="Cambria"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1E0AC1"/>
    <w:rPr>
      <w:rFonts w:ascii="Cambria"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1E0AC1"/>
    <w:rPr>
      <w:rFonts w:ascii="Times New (W1)" w:hAnsi="Times New (W1)"/>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1E0AC1"/>
    <w:rPr>
      <w:rFonts w:ascii="Times New (W1)" w:hAnsi="Times New (W1)"/>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1E0AC1"/>
    <w:rPr>
      <w:rFonts w:ascii="Times New (W1)" w:hAnsi="Times New (W1)"/>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1E0AC1"/>
    <w:rPr>
      <w:rFonts w:ascii="Times New (W1)" w:hAnsi="Times New (W1)"/>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1E0AC1"/>
    <w:rPr>
      <w:rFonts w:ascii="Times New (W1)" w:hAnsi="Times New (W1)"/>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1E0AC1"/>
    <w:rPr>
      <w:rFonts w:ascii="Times New (W1)" w:hAnsi="Times New (W1)"/>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1E0AC1"/>
    <w:rPr>
      <w:rFonts w:ascii="Times New (W1)" w:hAnsi="Times New (W1)"/>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1E0AC1"/>
    <w:rPr>
      <w:rFonts w:ascii="Times New (W1)" w:hAnsi="Times New (W1)"/>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1E0AC1"/>
    <w:rPr>
      <w:rFonts w:ascii="Times New (W1)" w:hAnsi="Times New (W1)"/>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1E0AC1"/>
    <w:rPr>
      <w:rFonts w:ascii="Times New (W1)" w:hAnsi="Times New (W1)"/>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1E0AC1"/>
    <w:rPr>
      <w:rFonts w:ascii="Times New (W1)" w:hAnsi="Times New (W1)"/>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1E0AC1"/>
    <w:rPr>
      <w:rFonts w:ascii="Times New (W1)" w:hAnsi="Times New (W1)"/>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1E0AC1"/>
    <w:rPr>
      <w:rFonts w:ascii="Times New (W1)" w:hAnsi="Times New (W1)"/>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1E0AC1"/>
    <w:rPr>
      <w:rFonts w:ascii="Times New (W1)" w:hAnsi="Times New (W1)"/>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1E0AC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1E0AC1"/>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1E0AC1"/>
    <w:rPr>
      <w:rFonts w:ascii="Cambria"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1E0AC1"/>
    <w:rPr>
      <w:rFonts w:ascii="Cambria"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1E0AC1"/>
    <w:rPr>
      <w:rFonts w:ascii="Cambria"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1E0AC1"/>
    <w:rPr>
      <w:rFonts w:ascii="Cambria"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1E0AC1"/>
    <w:rPr>
      <w:rFonts w:ascii="Cambria"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1E0AC1"/>
    <w:rPr>
      <w:rFonts w:ascii="Times New (W1)" w:hAnsi="Times New (W1)"/>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1E0AC1"/>
    <w:rPr>
      <w:rFonts w:ascii="Times New (W1)" w:hAnsi="Times New (W1)"/>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1E0AC1"/>
    <w:rPr>
      <w:rFonts w:ascii="Times New (W1)" w:hAnsi="Times New (W1)"/>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1E0AC1"/>
    <w:rPr>
      <w:rFonts w:ascii="Times New (W1)" w:hAnsi="Times New (W1)"/>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1E0AC1"/>
    <w:rPr>
      <w:rFonts w:ascii="Times New (W1)" w:hAnsi="Times New (W1)"/>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1E0AC1"/>
    <w:rPr>
      <w:rFonts w:ascii="Times New (W1)" w:hAnsi="Times New (W1)"/>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1E0AC1"/>
    <w:rPr>
      <w:rFonts w:ascii="Times New (W1)" w:hAnsi="Times New (W1)"/>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1E0AC1"/>
    <w:rPr>
      <w:rFonts w:ascii="Times New (W1)" w:hAnsi="Times New (W1)"/>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1E0AC1"/>
    <w:rPr>
      <w:rFonts w:ascii="Times New (W1)" w:hAnsi="Times New (W1)"/>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1E0AC1"/>
    <w:rPr>
      <w:rFonts w:ascii="Times New (W1)" w:hAnsi="Times New (W1)"/>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1E0AC1"/>
    <w:rPr>
      <w:rFonts w:ascii="Times New (W1)" w:hAnsi="Times New (W1)"/>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1E0AC1"/>
    <w:rPr>
      <w:rFonts w:ascii="Times New (W1)" w:hAnsi="Times New (W1)"/>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1E0AC1"/>
    <w:rPr>
      <w:rFonts w:ascii="Times New (W1)" w:hAnsi="Times New (W1)"/>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1E0AC1"/>
    <w:rPr>
      <w:rFonts w:ascii="Times New (W1)" w:hAnsi="Times New (W1)"/>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1E0AC1"/>
    <w:pPr>
      <w:jc w:val="both"/>
    </w:pPr>
    <w:rPr>
      <w:rFonts w:ascii="Times New (W1)" w:hAnsi="Times New (W1)"/>
      <w:sz w:val="26"/>
      <w:lang w:eastAsia="en-US"/>
    </w:rPr>
  </w:style>
  <w:style w:type="character" w:styleId="PlaceholderText">
    <w:name w:val="Placeholder Text"/>
    <w:uiPriority w:val="99"/>
    <w:semiHidden/>
    <w:rsid w:val="001E0AC1"/>
    <w:rPr>
      <w:color w:val="808080"/>
    </w:rPr>
  </w:style>
  <w:style w:type="character" w:styleId="SubtleEmphasis">
    <w:name w:val="Subtle Emphasis"/>
    <w:uiPriority w:val="19"/>
    <w:rsid w:val="001E0AC1"/>
    <w:rPr>
      <w:i/>
      <w:iCs/>
      <w:color w:val="808080"/>
    </w:rPr>
  </w:style>
  <w:style w:type="character" w:styleId="SubtleReference">
    <w:name w:val="Subtle Reference"/>
    <w:uiPriority w:val="31"/>
    <w:rsid w:val="001E0AC1"/>
    <w:rPr>
      <w:smallCaps/>
      <w:color w:val="C0504D"/>
      <w:u w:val="single"/>
    </w:rPr>
  </w:style>
  <w:style w:type="paragraph" w:styleId="TOCHeading">
    <w:name w:val="TOC Heading"/>
    <w:basedOn w:val="Heading1"/>
    <w:next w:val="Normal"/>
    <w:uiPriority w:val="39"/>
    <w:semiHidden/>
    <w:unhideWhenUsed/>
    <w:qFormat/>
    <w:rsid w:val="001E0AC1"/>
    <w:pPr>
      <w:spacing w:after="60"/>
      <w:jc w:val="both"/>
      <w:outlineLvl w:val="9"/>
    </w:pPr>
    <w:rPr>
      <w:rFonts w:ascii="Cambria" w:hAnsi="Cambria"/>
      <w:bCs/>
      <w:kern w:val="32"/>
      <w:sz w:val="32"/>
      <w:szCs w:val="32"/>
      <w:lang w:eastAsia="en-AU"/>
    </w:rPr>
  </w:style>
  <w:style w:type="paragraph" w:customStyle="1" w:styleId="letterheadbody">
    <w:name w:val="letterhead body"/>
    <w:basedOn w:val="Normal"/>
    <w:rsid w:val="001E0AC1"/>
    <w:pPr>
      <w:tabs>
        <w:tab w:val="left" w:pos="851"/>
      </w:tabs>
      <w:spacing w:after="0"/>
      <w:ind w:left="284"/>
      <w:jc w:val="left"/>
    </w:pPr>
    <w:rPr>
      <w:rFonts w:ascii="Palatino" w:hAnsi="Palatino"/>
      <w:sz w:val="20"/>
      <w:lang w:eastAsia="ja-JP"/>
    </w:rPr>
  </w:style>
  <w:style w:type="character" w:customStyle="1" w:styleId="FootnoteTextChar">
    <w:name w:val="Footnote Text Char"/>
    <w:link w:val="FootnoteText"/>
    <w:rsid w:val="001E0AC1"/>
    <w:rPr>
      <w:sz w:val="22"/>
      <w:lang w:eastAsia="en-US"/>
    </w:rPr>
  </w:style>
  <w:style w:type="character" w:customStyle="1" w:styleId="FooterChar">
    <w:name w:val="Footer Char"/>
    <w:link w:val="Footer"/>
    <w:uiPriority w:val="99"/>
    <w:rsid w:val="003F17A2"/>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895708">
      <w:bodyDiv w:val="1"/>
      <w:marLeft w:val="0"/>
      <w:marRight w:val="0"/>
      <w:marTop w:val="0"/>
      <w:marBottom w:val="0"/>
      <w:divBdr>
        <w:top w:val="none" w:sz="0" w:space="0" w:color="auto"/>
        <w:left w:val="none" w:sz="0" w:space="0" w:color="auto"/>
        <w:bottom w:val="none" w:sz="0" w:space="0" w:color="auto"/>
        <w:right w:val="none" w:sz="0" w:space="0" w:color="auto"/>
      </w:divBdr>
    </w:div>
    <w:div w:id="733086865">
      <w:bodyDiv w:val="1"/>
      <w:marLeft w:val="0"/>
      <w:marRight w:val="0"/>
      <w:marTop w:val="0"/>
      <w:marBottom w:val="0"/>
      <w:divBdr>
        <w:top w:val="none" w:sz="0" w:space="0" w:color="auto"/>
        <w:left w:val="none" w:sz="0" w:space="0" w:color="auto"/>
        <w:bottom w:val="none" w:sz="0" w:space="0" w:color="auto"/>
        <w:right w:val="none" w:sz="0" w:space="0" w:color="auto"/>
      </w:divBdr>
    </w:div>
    <w:div w:id="1301688621">
      <w:bodyDiv w:val="1"/>
      <w:marLeft w:val="0"/>
      <w:marRight w:val="0"/>
      <w:marTop w:val="0"/>
      <w:marBottom w:val="0"/>
      <w:divBdr>
        <w:top w:val="none" w:sz="0" w:space="0" w:color="auto"/>
        <w:left w:val="none" w:sz="0" w:space="0" w:color="auto"/>
        <w:bottom w:val="none" w:sz="0" w:space="0" w:color="auto"/>
        <w:right w:val="none" w:sz="0" w:space="0" w:color="auto"/>
      </w:divBdr>
    </w:div>
    <w:div w:id="1876038111">
      <w:bodyDiv w:val="1"/>
      <w:marLeft w:val="0"/>
      <w:marRight w:val="0"/>
      <w:marTop w:val="0"/>
      <w:marBottom w:val="0"/>
      <w:divBdr>
        <w:top w:val="none" w:sz="0" w:space="0" w:color="auto"/>
        <w:left w:val="none" w:sz="0" w:space="0" w:color="auto"/>
        <w:bottom w:val="none" w:sz="0" w:space="0" w:color="auto"/>
        <w:right w:val="none" w:sz="0" w:space="0" w:color="auto"/>
      </w:divBdr>
    </w:div>
    <w:div w:id="2122991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footer" Target="footer10.xml"/><Relationship Id="rId39" Type="http://schemas.openxmlformats.org/officeDocument/2006/relationships/hyperlink" Target="http://www.aph.gov.au/Parliamentary_Business/Committees/Senate_Committees?url=regord_ctte/index.htm" TargetMode="External"/><Relationship Id="rId3" Type="http://schemas.microsoft.com/office/2007/relationships/stylesWithEffects" Target="stylesWithEffects.xml"/><Relationship Id="rId21" Type="http://schemas.openxmlformats.org/officeDocument/2006/relationships/footer" Target="footer8.xml"/><Relationship Id="rId34" Type="http://schemas.openxmlformats.org/officeDocument/2006/relationships/footer" Target="footer14.xml"/><Relationship Id="rId42" Type="http://schemas.openxmlformats.org/officeDocument/2006/relationships/header" Target="header1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hyperlink" Target="http://www.aph.gov.au/Parliamentary_Business/Committees/Senate_Committees?url=regord_ctte/alert2012.htm" TargetMode="Externa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oter" Target="footer7.xml"/><Relationship Id="rId29" Type="http://schemas.openxmlformats.org/officeDocument/2006/relationships/header" Target="header11.xml"/><Relationship Id="rId41" Type="http://schemas.openxmlformats.org/officeDocument/2006/relationships/header" Target="header1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eader" Target="header8.xml"/><Relationship Id="rId32" Type="http://schemas.openxmlformats.org/officeDocument/2006/relationships/footer" Target="footer13.xml"/><Relationship Id="rId37" Type="http://schemas.openxmlformats.org/officeDocument/2006/relationships/hyperlink" Target="http://www.comlaw.gov.au/Details/C2012C00041" TargetMode="External"/><Relationship Id="rId40" Type="http://schemas.openxmlformats.org/officeDocument/2006/relationships/hyperlink" Target="mailto:RegOrds.Sen@aph.gov.au"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header" Target="header10.xml"/><Relationship Id="rId36" Type="http://schemas.openxmlformats.org/officeDocument/2006/relationships/hyperlink" Target="http://www.aph.gov.au/Parliamentary_Business/Committees/Senate_Committees?url=regord_ctte/guidelines.htm" TargetMode="Externa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footer" Target="footer12.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header" Target="header7.xml"/><Relationship Id="rId27" Type="http://schemas.openxmlformats.org/officeDocument/2006/relationships/footer" Target="footer11.xml"/><Relationship Id="rId30" Type="http://schemas.openxmlformats.org/officeDocument/2006/relationships/header" Target="header12.xml"/><Relationship Id="rId35" Type="http://schemas.openxmlformats.org/officeDocument/2006/relationships/image" Target="media/image1.png"/><Relationship Id="rId43" Type="http://schemas.openxmlformats.org/officeDocument/2006/relationships/footer" Target="footer15.xml"/></Relationships>
</file>

<file path=word/_rels/settings.xml.rels><?xml version="1.0" encoding="UTF-8" standalone="yes"?>
<Relationships xmlns="http://schemas.openxmlformats.org/package/2006/relationships"><Relationship Id="rId1" Type="http://schemas.openxmlformats.org/officeDocument/2006/relationships/attachedTemplate" Target="file:///G:\Core\OfficeXP\Templates\SEN\Senate%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Senate Report.dot</Template>
  <TotalTime>0</TotalTime>
  <Pages>51</Pages>
  <Words>13057</Words>
  <Characters>80877</Characters>
  <Application>Microsoft Office Word</Application>
  <DocSecurity>0</DocSecurity>
  <Lines>673</Lines>
  <Paragraphs>187</Paragraphs>
  <ScaleCrop>false</ScaleCrop>
  <HeadingPairs>
    <vt:vector size="2" baseType="variant">
      <vt:variant>
        <vt:lpstr>Title</vt:lpstr>
      </vt:variant>
      <vt:variant>
        <vt:i4>1</vt:i4>
      </vt:variant>
    </vt:vector>
  </HeadingPairs>
  <TitlesOfParts>
    <vt:vector size="1" baseType="lpstr">
      <vt:lpstr>© Commonwealth of Australia 2004</vt:lpstr>
    </vt:vector>
  </TitlesOfParts>
  <Company>Parliament of Australia</Company>
  <LinksUpToDate>false</LinksUpToDate>
  <CharactersWithSpaces>93747</CharactersWithSpaces>
  <SharedDoc>false</SharedDoc>
  <HLinks>
    <vt:vector size="30" baseType="variant">
      <vt:variant>
        <vt:i4>1179696</vt:i4>
      </vt:variant>
      <vt:variant>
        <vt:i4>12</vt:i4>
      </vt:variant>
      <vt:variant>
        <vt:i4>0</vt:i4>
      </vt:variant>
      <vt:variant>
        <vt:i4>5</vt:i4>
      </vt:variant>
      <vt:variant>
        <vt:lpwstr>mailto:RegOrds.Sen@aph.gov.au</vt:lpwstr>
      </vt:variant>
      <vt:variant>
        <vt:lpwstr/>
      </vt:variant>
      <vt:variant>
        <vt:i4>1966194</vt:i4>
      </vt:variant>
      <vt:variant>
        <vt:i4>9</vt:i4>
      </vt:variant>
      <vt:variant>
        <vt:i4>0</vt:i4>
      </vt:variant>
      <vt:variant>
        <vt:i4>5</vt:i4>
      </vt:variant>
      <vt:variant>
        <vt:lpwstr>http://www.aph.gov.au/Parliamentary_Business/Committees/Senate_Committees?url=regord_ctte/index.htm</vt:lpwstr>
      </vt:variant>
      <vt:variant>
        <vt:lpwstr/>
      </vt:variant>
      <vt:variant>
        <vt:i4>524405</vt:i4>
      </vt:variant>
      <vt:variant>
        <vt:i4>6</vt:i4>
      </vt:variant>
      <vt:variant>
        <vt:i4>0</vt:i4>
      </vt:variant>
      <vt:variant>
        <vt:i4>5</vt:i4>
      </vt:variant>
      <vt:variant>
        <vt:lpwstr>http://www.aph.gov.au/Parliamentary_Business/Committees/Senate_Committees?url=regord_ctte/alert2012.htm</vt:lpwstr>
      </vt:variant>
      <vt:variant>
        <vt:lpwstr/>
      </vt:variant>
      <vt:variant>
        <vt:i4>262232</vt:i4>
      </vt:variant>
      <vt:variant>
        <vt:i4>3</vt:i4>
      </vt:variant>
      <vt:variant>
        <vt:i4>0</vt:i4>
      </vt:variant>
      <vt:variant>
        <vt:i4>5</vt:i4>
      </vt:variant>
      <vt:variant>
        <vt:lpwstr>http://www.comlaw.gov.au/Details/C2012C00041</vt:lpwstr>
      </vt:variant>
      <vt:variant>
        <vt:lpwstr/>
      </vt:variant>
      <vt:variant>
        <vt:i4>2752594</vt:i4>
      </vt:variant>
      <vt:variant>
        <vt:i4>0</vt:i4>
      </vt:variant>
      <vt:variant>
        <vt:i4>0</vt:i4>
      </vt:variant>
      <vt:variant>
        <vt:i4>5</vt:i4>
      </vt:variant>
      <vt:variant>
        <vt:lpwstr>http://www.aph.gov.au/Parliamentary_Business/Committees/Senate_Committees?url=regord_ctte/guidelines.htm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Commonwealth of Australia 2004</dc:title>
  <dc:creator>wuestj</dc:creator>
  <cp:lastModifiedBy>Janice Paull</cp:lastModifiedBy>
  <cp:revision>2</cp:revision>
  <cp:lastPrinted>2007-08-20T07:24:00Z</cp:lastPrinted>
  <dcterms:created xsi:type="dcterms:W3CDTF">2013-05-14T08:25:00Z</dcterms:created>
  <dcterms:modified xsi:type="dcterms:W3CDTF">2013-05-14T08:25:00Z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6.7</vt:lpwstr>
  </property>
  <property fmtid="{D5CDD505-2E9C-101B-9397-08002B2CF9AE}" pid="3" name="Date">
    <vt:lpwstr>March 2004</vt:lpwstr>
  </property>
  <property fmtid="{D5CDD505-2E9C-101B-9397-08002B2CF9AE}" pid="4" name="Chapter">
    <vt:i4>99</vt:i4>
  </property>
</Properties>
</file>