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4112" w:rsidRDefault="002D7FDF" w:rsidP="00924112">
      <w:pPr>
        <w:pStyle w:val="PBOheading1"/>
      </w:pPr>
      <w:bookmarkStart w:id="0" w:name="_GoBack"/>
      <w:bookmarkEnd w:id="0"/>
      <w:r>
        <w:t xml:space="preserve">Section 2: </w:t>
      </w:r>
      <w:r w:rsidR="00924112" w:rsidRPr="00924112">
        <w:t>Overview of impacts of election commitments on the Commonwealth budget</w:t>
      </w:r>
    </w:p>
    <w:p w:rsidR="00924112" w:rsidRDefault="00924112" w:rsidP="00924112">
      <w:pPr>
        <w:pStyle w:val="PBOtext"/>
      </w:pPr>
      <w:r>
        <w:t>The total combined financial impact of election commitments over the 2013</w:t>
      </w:r>
      <w:r w:rsidR="00AF724E">
        <w:t>-</w:t>
      </w:r>
      <w:r>
        <w:t>14 Budget forward estimate</w:t>
      </w:r>
      <w:r w:rsidR="00314A5D">
        <w:t>s</w:t>
      </w:r>
      <w:r>
        <w:t xml:space="preserve"> </w:t>
      </w:r>
      <w:r w:rsidR="003C6D9C">
        <w:t>period</w:t>
      </w:r>
      <w:r>
        <w:t xml:space="preserve"> for each designated Parliamentary party are set out below in </w:t>
      </w:r>
      <w:r w:rsidRPr="00D35447">
        <w:rPr>
          <w:b/>
        </w:rPr>
        <w:t xml:space="preserve">table </w:t>
      </w:r>
      <w:r w:rsidR="004809DC" w:rsidRPr="00D35447">
        <w:rPr>
          <w:b/>
        </w:rPr>
        <w:t>1</w:t>
      </w:r>
      <w:r w:rsidR="008E5518">
        <w:t>.</w:t>
      </w:r>
    </w:p>
    <w:p w:rsidR="00924112" w:rsidRDefault="00924112" w:rsidP="00A53E5C">
      <w:pPr>
        <w:pStyle w:val="PBOfiguretableheading"/>
      </w:pPr>
      <w:r>
        <w:t xml:space="preserve">Table </w:t>
      </w:r>
      <w:r w:rsidR="00C83D94">
        <w:t>1</w:t>
      </w:r>
      <w:r>
        <w:t>: Total financial impact of election commitments of designated Parliamentary parties</w:t>
      </w:r>
    </w:p>
    <w:tbl>
      <w:tblPr>
        <w:tblW w:w="0" w:type="auto"/>
        <w:tblBorders>
          <w:top w:val="single" w:sz="4" w:space="0" w:color="1F497D"/>
          <w:left w:val="single" w:sz="4" w:space="0" w:color="1F497D"/>
          <w:bottom w:val="single" w:sz="4" w:space="0" w:color="1F497D"/>
          <w:right w:val="single" w:sz="4" w:space="0" w:color="1F497D"/>
        </w:tblBorders>
        <w:tblLook w:val="04A0" w:firstRow="1" w:lastRow="0" w:firstColumn="1" w:lastColumn="0" w:noHBand="0" w:noVBand="1"/>
      </w:tblPr>
      <w:tblGrid>
        <w:gridCol w:w="3227"/>
        <w:gridCol w:w="1059"/>
        <w:gridCol w:w="1059"/>
        <w:gridCol w:w="1059"/>
        <w:gridCol w:w="1059"/>
        <w:gridCol w:w="1059"/>
      </w:tblGrid>
      <w:tr w:rsidR="00924112" w:rsidRPr="00EE4AEC" w:rsidTr="001C7062">
        <w:tc>
          <w:tcPr>
            <w:tcW w:w="3227" w:type="dxa"/>
            <w:tcBorders>
              <w:top w:val="single" w:sz="8" w:space="0" w:color="1F497D"/>
              <w:left w:val="single" w:sz="8" w:space="0" w:color="1F497D"/>
              <w:bottom w:val="dotted" w:sz="8" w:space="0" w:color="1F497D"/>
              <w:right w:val="nil"/>
            </w:tcBorders>
            <w:shd w:val="clear" w:color="auto" w:fill="264A76"/>
          </w:tcPr>
          <w:p w:rsidR="00924112" w:rsidRPr="00A82A11" w:rsidRDefault="00924112" w:rsidP="00A82A11">
            <w:pPr>
              <w:pStyle w:val="PBOtext"/>
              <w:spacing w:before="0" w:after="0"/>
              <w:jc w:val="center"/>
              <w:rPr>
                <w:b/>
                <w:color w:val="FFFFFF"/>
                <w:sz w:val="18"/>
                <w:szCs w:val="18"/>
              </w:rPr>
            </w:pPr>
          </w:p>
        </w:tc>
        <w:tc>
          <w:tcPr>
            <w:tcW w:w="5295" w:type="dxa"/>
            <w:gridSpan w:val="5"/>
            <w:tcBorders>
              <w:top w:val="single" w:sz="8" w:space="0" w:color="1F497D"/>
              <w:left w:val="nil"/>
              <w:bottom w:val="dotted" w:sz="8" w:space="0" w:color="1F497D"/>
              <w:right w:val="single" w:sz="8" w:space="0" w:color="1F497D"/>
            </w:tcBorders>
            <w:shd w:val="clear" w:color="auto" w:fill="264A76"/>
          </w:tcPr>
          <w:p w:rsidR="00924112" w:rsidRPr="00A82A11" w:rsidRDefault="00924112" w:rsidP="00A82A11">
            <w:pPr>
              <w:pStyle w:val="PBOtext"/>
              <w:spacing w:before="0" w:after="0"/>
              <w:jc w:val="center"/>
              <w:rPr>
                <w:b/>
                <w:color w:val="FFFFFF"/>
                <w:sz w:val="18"/>
                <w:szCs w:val="18"/>
              </w:rPr>
            </w:pPr>
            <w:r w:rsidRPr="00A82A11">
              <w:rPr>
                <w:b/>
                <w:color w:val="FFFFFF"/>
                <w:sz w:val="18"/>
                <w:szCs w:val="18"/>
              </w:rPr>
              <w:t>Total combined financial impact ($m)</w:t>
            </w:r>
          </w:p>
        </w:tc>
      </w:tr>
      <w:tr w:rsidR="00924112" w:rsidRPr="003804DA" w:rsidTr="001C7062">
        <w:tc>
          <w:tcPr>
            <w:tcW w:w="3227" w:type="dxa"/>
            <w:tcBorders>
              <w:top w:val="dotted" w:sz="8" w:space="0" w:color="1F497D"/>
              <w:left w:val="single" w:sz="8" w:space="0" w:color="1F497D"/>
              <w:bottom w:val="dotted" w:sz="8" w:space="0" w:color="1F497D"/>
              <w:right w:val="dotted" w:sz="8" w:space="0" w:color="1F497D"/>
            </w:tcBorders>
            <w:shd w:val="clear" w:color="auto" w:fill="D7DCE4"/>
          </w:tcPr>
          <w:p w:rsidR="00924112" w:rsidRPr="00A82A11" w:rsidRDefault="00924112" w:rsidP="00A82A11">
            <w:pPr>
              <w:pStyle w:val="PBOtext"/>
              <w:spacing w:before="0" w:after="0"/>
              <w:rPr>
                <w:b/>
                <w:sz w:val="18"/>
                <w:szCs w:val="18"/>
              </w:rPr>
            </w:pPr>
            <w:r w:rsidRPr="00A82A11">
              <w:rPr>
                <w:b/>
                <w:sz w:val="18"/>
                <w:szCs w:val="18"/>
              </w:rPr>
              <w:t>Designated Parliamentary party</w:t>
            </w:r>
          </w:p>
        </w:tc>
        <w:tc>
          <w:tcPr>
            <w:tcW w:w="1059" w:type="dxa"/>
            <w:tcBorders>
              <w:top w:val="dotted" w:sz="8" w:space="0" w:color="1F497D"/>
              <w:left w:val="dotted" w:sz="8" w:space="0" w:color="1F497D"/>
              <w:bottom w:val="dotted" w:sz="8" w:space="0" w:color="1F497D"/>
              <w:right w:val="dotted" w:sz="8" w:space="0" w:color="1F497D"/>
            </w:tcBorders>
            <w:shd w:val="clear" w:color="auto" w:fill="D7DCE4"/>
          </w:tcPr>
          <w:p w:rsidR="00924112" w:rsidRPr="00A82A11" w:rsidRDefault="00924112" w:rsidP="006919EC">
            <w:pPr>
              <w:pStyle w:val="PBOtext"/>
              <w:spacing w:before="0" w:after="0"/>
              <w:jc w:val="right"/>
              <w:rPr>
                <w:b/>
                <w:sz w:val="18"/>
                <w:szCs w:val="18"/>
              </w:rPr>
            </w:pPr>
            <w:r w:rsidRPr="00A82A11">
              <w:rPr>
                <w:b/>
                <w:sz w:val="18"/>
                <w:szCs w:val="18"/>
              </w:rPr>
              <w:t>2013</w:t>
            </w:r>
            <w:r w:rsidR="006919EC">
              <w:rPr>
                <w:b/>
                <w:sz w:val="18"/>
                <w:szCs w:val="18"/>
              </w:rPr>
              <w:t>-</w:t>
            </w:r>
            <w:r w:rsidRPr="00A82A11">
              <w:rPr>
                <w:b/>
                <w:sz w:val="18"/>
                <w:szCs w:val="18"/>
              </w:rPr>
              <w:t>14</w:t>
            </w:r>
          </w:p>
        </w:tc>
        <w:tc>
          <w:tcPr>
            <w:tcW w:w="1059" w:type="dxa"/>
            <w:tcBorders>
              <w:top w:val="dotted" w:sz="8" w:space="0" w:color="1F497D"/>
              <w:left w:val="dotted" w:sz="8" w:space="0" w:color="1F497D"/>
              <w:bottom w:val="dotted" w:sz="8" w:space="0" w:color="1F497D"/>
              <w:right w:val="dotted" w:sz="8" w:space="0" w:color="1F497D"/>
            </w:tcBorders>
            <w:shd w:val="clear" w:color="auto" w:fill="D7DCE4"/>
          </w:tcPr>
          <w:p w:rsidR="00924112" w:rsidRPr="00A82A11" w:rsidRDefault="00924112" w:rsidP="006919EC">
            <w:pPr>
              <w:pStyle w:val="PBOtext"/>
              <w:spacing w:before="0" w:after="0"/>
              <w:jc w:val="right"/>
              <w:rPr>
                <w:b/>
                <w:sz w:val="18"/>
                <w:szCs w:val="18"/>
              </w:rPr>
            </w:pPr>
            <w:r w:rsidRPr="00A82A11">
              <w:rPr>
                <w:b/>
                <w:sz w:val="18"/>
                <w:szCs w:val="18"/>
              </w:rPr>
              <w:t>2014</w:t>
            </w:r>
            <w:r w:rsidR="006919EC">
              <w:rPr>
                <w:b/>
                <w:sz w:val="18"/>
                <w:szCs w:val="18"/>
              </w:rPr>
              <w:t>-</w:t>
            </w:r>
            <w:r w:rsidRPr="00A82A11">
              <w:rPr>
                <w:b/>
                <w:sz w:val="18"/>
                <w:szCs w:val="18"/>
              </w:rPr>
              <w:t>15</w:t>
            </w:r>
          </w:p>
        </w:tc>
        <w:tc>
          <w:tcPr>
            <w:tcW w:w="1059" w:type="dxa"/>
            <w:tcBorders>
              <w:top w:val="dotted" w:sz="8" w:space="0" w:color="1F497D"/>
              <w:left w:val="dotted" w:sz="8" w:space="0" w:color="1F497D"/>
              <w:bottom w:val="dotted" w:sz="8" w:space="0" w:color="1F497D"/>
              <w:right w:val="dotted" w:sz="8" w:space="0" w:color="1F497D"/>
            </w:tcBorders>
            <w:shd w:val="clear" w:color="auto" w:fill="D7DCE4"/>
          </w:tcPr>
          <w:p w:rsidR="00924112" w:rsidRPr="00A82A11" w:rsidRDefault="00924112" w:rsidP="006919EC">
            <w:pPr>
              <w:pStyle w:val="PBOtext"/>
              <w:spacing w:before="0" w:after="0"/>
              <w:jc w:val="right"/>
              <w:rPr>
                <w:b/>
                <w:sz w:val="18"/>
                <w:szCs w:val="18"/>
              </w:rPr>
            </w:pPr>
            <w:r w:rsidRPr="00A82A11">
              <w:rPr>
                <w:b/>
                <w:sz w:val="18"/>
                <w:szCs w:val="18"/>
              </w:rPr>
              <w:t>2015</w:t>
            </w:r>
            <w:r w:rsidR="006919EC">
              <w:rPr>
                <w:b/>
                <w:sz w:val="18"/>
                <w:szCs w:val="18"/>
              </w:rPr>
              <w:t>-</w:t>
            </w:r>
            <w:r w:rsidRPr="00A82A11">
              <w:rPr>
                <w:b/>
                <w:sz w:val="18"/>
                <w:szCs w:val="18"/>
              </w:rPr>
              <w:t>16</w:t>
            </w:r>
          </w:p>
        </w:tc>
        <w:tc>
          <w:tcPr>
            <w:tcW w:w="1059" w:type="dxa"/>
            <w:tcBorders>
              <w:top w:val="dotted" w:sz="8" w:space="0" w:color="1F497D"/>
              <w:left w:val="dotted" w:sz="8" w:space="0" w:color="1F497D"/>
              <w:bottom w:val="dotted" w:sz="8" w:space="0" w:color="1F497D"/>
              <w:right w:val="dotted" w:sz="8" w:space="0" w:color="1F497D"/>
            </w:tcBorders>
            <w:shd w:val="clear" w:color="auto" w:fill="D7DCE4"/>
          </w:tcPr>
          <w:p w:rsidR="00924112" w:rsidRPr="00A82A11" w:rsidRDefault="00924112" w:rsidP="006919EC">
            <w:pPr>
              <w:pStyle w:val="PBOtext"/>
              <w:spacing w:before="0" w:after="0"/>
              <w:jc w:val="right"/>
              <w:rPr>
                <w:b/>
                <w:sz w:val="18"/>
                <w:szCs w:val="18"/>
              </w:rPr>
            </w:pPr>
            <w:r w:rsidRPr="00A82A11">
              <w:rPr>
                <w:b/>
                <w:sz w:val="18"/>
                <w:szCs w:val="18"/>
              </w:rPr>
              <w:t>2016</w:t>
            </w:r>
            <w:r w:rsidR="006919EC">
              <w:rPr>
                <w:b/>
                <w:sz w:val="18"/>
                <w:szCs w:val="18"/>
              </w:rPr>
              <w:t>-</w:t>
            </w:r>
            <w:r w:rsidRPr="00A82A11">
              <w:rPr>
                <w:b/>
                <w:sz w:val="18"/>
                <w:szCs w:val="18"/>
              </w:rPr>
              <w:t>17</w:t>
            </w:r>
          </w:p>
        </w:tc>
        <w:tc>
          <w:tcPr>
            <w:tcW w:w="1059" w:type="dxa"/>
            <w:tcBorders>
              <w:top w:val="dotted" w:sz="8" w:space="0" w:color="1F497D"/>
              <w:left w:val="dotted" w:sz="8" w:space="0" w:color="1F497D"/>
              <w:bottom w:val="dotted" w:sz="8" w:space="0" w:color="1F497D"/>
              <w:right w:val="single" w:sz="8" w:space="0" w:color="1F497D"/>
            </w:tcBorders>
            <w:shd w:val="clear" w:color="auto" w:fill="D7DCE4"/>
          </w:tcPr>
          <w:p w:rsidR="00924112" w:rsidRPr="003804DA" w:rsidRDefault="00924112" w:rsidP="002804F4">
            <w:pPr>
              <w:pStyle w:val="PBOtext"/>
              <w:spacing w:before="0" w:after="0"/>
              <w:jc w:val="right"/>
              <w:rPr>
                <w:b/>
                <w:sz w:val="18"/>
                <w:szCs w:val="18"/>
              </w:rPr>
            </w:pPr>
            <w:r w:rsidRPr="003804DA">
              <w:rPr>
                <w:b/>
                <w:sz w:val="18"/>
                <w:szCs w:val="18"/>
              </w:rPr>
              <w:t>Total</w:t>
            </w:r>
          </w:p>
        </w:tc>
      </w:tr>
      <w:tr w:rsidR="00924112" w:rsidRPr="00EE4AEC" w:rsidTr="001C7062">
        <w:tc>
          <w:tcPr>
            <w:tcW w:w="3227" w:type="dxa"/>
            <w:tcBorders>
              <w:top w:val="dotted" w:sz="8" w:space="0" w:color="1F497D"/>
              <w:left w:val="single" w:sz="8" w:space="0" w:color="1F497D"/>
              <w:right w:val="dotted" w:sz="8" w:space="0" w:color="1F497D"/>
            </w:tcBorders>
            <w:shd w:val="clear" w:color="auto" w:fill="auto"/>
          </w:tcPr>
          <w:p w:rsidR="00924112" w:rsidRPr="00A82A11" w:rsidRDefault="00924112" w:rsidP="00A82A11">
            <w:pPr>
              <w:pStyle w:val="PBOtext"/>
              <w:spacing w:before="0" w:after="0"/>
              <w:rPr>
                <w:b/>
                <w:sz w:val="18"/>
                <w:szCs w:val="18"/>
              </w:rPr>
            </w:pPr>
          </w:p>
        </w:tc>
        <w:tc>
          <w:tcPr>
            <w:tcW w:w="1059" w:type="dxa"/>
            <w:tcBorders>
              <w:top w:val="dotted" w:sz="8" w:space="0" w:color="1F497D"/>
              <w:left w:val="dotted" w:sz="8" w:space="0" w:color="1F497D"/>
              <w:right w:val="dotted" w:sz="8" w:space="0" w:color="1F497D"/>
            </w:tcBorders>
            <w:shd w:val="clear" w:color="auto" w:fill="auto"/>
          </w:tcPr>
          <w:p w:rsidR="00924112" w:rsidRPr="00A82A11" w:rsidRDefault="00924112" w:rsidP="00A82A11">
            <w:pPr>
              <w:pStyle w:val="PBOtext"/>
              <w:spacing w:before="0" w:after="0"/>
              <w:jc w:val="right"/>
              <w:rPr>
                <w:sz w:val="18"/>
                <w:szCs w:val="18"/>
              </w:rPr>
            </w:pPr>
          </w:p>
        </w:tc>
        <w:tc>
          <w:tcPr>
            <w:tcW w:w="1059" w:type="dxa"/>
            <w:tcBorders>
              <w:top w:val="dotted" w:sz="8" w:space="0" w:color="1F497D"/>
              <w:left w:val="dotted" w:sz="8" w:space="0" w:color="1F497D"/>
              <w:right w:val="dotted" w:sz="8" w:space="0" w:color="1F497D"/>
            </w:tcBorders>
            <w:shd w:val="clear" w:color="auto" w:fill="auto"/>
          </w:tcPr>
          <w:p w:rsidR="00924112" w:rsidRPr="00A82A11" w:rsidRDefault="00924112" w:rsidP="00A82A11">
            <w:pPr>
              <w:pStyle w:val="PBOtext"/>
              <w:spacing w:before="0" w:after="0"/>
              <w:jc w:val="right"/>
              <w:rPr>
                <w:sz w:val="18"/>
                <w:szCs w:val="18"/>
              </w:rPr>
            </w:pPr>
          </w:p>
        </w:tc>
        <w:tc>
          <w:tcPr>
            <w:tcW w:w="1059" w:type="dxa"/>
            <w:tcBorders>
              <w:top w:val="dotted" w:sz="8" w:space="0" w:color="1F497D"/>
              <w:left w:val="dotted" w:sz="8" w:space="0" w:color="1F497D"/>
              <w:right w:val="dotted" w:sz="8" w:space="0" w:color="1F497D"/>
            </w:tcBorders>
            <w:shd w:val="clear" w:color="auto" w:fill="auto"/>
          </w:tcPr>
          <w:p w:rsidR="00924112" w:rsidRPr="00A82A11" w:rsidRDefault="00924112" w:rsidP="00A82A11">
            <w:pPr>
              <w:pStyle w:val="PBOtext"/>
              <w:spacing w:before="0" w:after="0"/>
              <w:jc w:val="right"/>
              <w:rPr>
                <w:sz w:val="18"/>
                <w:szCs w:val="18"/>
              </w:rPr>
            </w:pPr>
          </w:p>
        </w:tc>
        <w:tc>
          <w:tcPr>
            <w:tcW w:w="1059" w:type="dxa"/>
            <w:tcBorders>
              <w:top w:val="dotted" w:sz="8" w:space="0" w:color="1F497D"/>
              <w:left w:val="dotted" w:sz="8" w:space="0" w:color="1F497D"/>
              <w:right w:val="dotted" w:sz="8" w:space="0" w:color="1F497D"/>
            </w:tcBorders>
            <w:shd w:val="clear" w:color="auto" w:fill="auto"/>
          </w:tcPr>
          <w:p w:rsidR="00924112" w:rsidRPr="00A82A11" w:rsidRDefault="00924112" w:rsidP="00A82A11">
            <w:pPr>
              <w:pStyle w:val="PBOtext"/>
              <w:spacing w:before="0" w:after="0"/>
              <w:jc w:val="right"/>
              <w:rPr>
                <w:sz w:val="18"/>
                <w:szCs w:val="18"/>
              </w:rPr>
            </w:pPr>
          </w:p>
        </w:tc>
        <w:tc>
          <w:tcPr>
            <w:tcW w:w="1059" w:type="dxa"/>
            <w:tcBorders>
              <w:top w:val="dotted" w:sz="8" w:space="0" w:color="1F497D"/>
              <w:left w:val="dotted" w:sz="8" w:space="0" w:color="1F497D"/>
              <w:right w:val="single" w:sz="8" w:space="0" w:color="1F497D"/>
            </w:tcBorders>
            <w:shd w:val="clear" w:color="auto" w:fill="auto"/>
          </w:tcPr>
          <w:p w:rsidR="00924112" w:rsidRPr="00A82A11" w:rsidRDefault="00924112" w:rsidP="00A82A11">
            <w:pPr>
              <w:pStyle w:val="PBOtext"/>
              <w:spacing w:before="0" w:after="0"/>
              <w:jc w:val="right"/>
              <w:rPr>
                <w:b/>
                <w:sz w:val="18"/>
                <w:szCs w:val="18"/>
              </w:rPr>
            </w:pPr>
          </w:p>
        </w:tc>
      </w:tr>
      <w:tr w:rsidR="00924112" w:rsidRPr="00EE4AEC" w:rsidTr="001C7062">
        <w:tc>
          <w:tcPr>
            <w:tcW w:w="3227" w:type="dxa"/>
            <w:tcBorders>
              <w:left w:val="single" w:sz="8" w:space="0" w:color="1F497D"/>
              <w:right w:val="dotted" w:sz="8" w:space="0" w:color="1F497D"/>
            </w:tcBorders>
            <w:shd w:val="clear" w:color="auto" w:fill="auto"/>
          </w:tcPr>
          <w:p w:rsidR="00924112" w:rsidRPr="00A82A11" w:rsidRDefault="00924112" w:rsidP="004E06BF">
            <w:pPr>
              <w:pStyle w:val="PBOtext"/>
              <w:spacing w:before="0" w:after="0"/>
              <w:rPr>
                <w:b/>
                <w:sz w:val="18"/>
                <w:szCs w:val="18"/>
                <w:vertAlign w:val="superscript"/>
              </w:rPr>
            </w:pPr>
            <w:r w:rsidRPr="00A82A11">
              <w:rPr>
                <w:b/>
                <w:sz w:val="18"/>
                <w:szCs w:val="18"/>
              </w:rPr>
              <w:t xml:space="preserve">Australian </w:t>
            </w:r>
            <w:proofErr w:type="spellStart"/>
            <w:r w:rsidRPr="00A82A11">
              <w:rPr>
                <w:b/>
                <w:sz w:val="18"/>
                <w:szCs w:val="18"/>
              </w:rPr>
              <w:t>Labor</w:t>
            </w:r>
            <w:proofErr w:type="spellEnd"/>
            <w:r w:rsidRPr="00A82A11">
              <w:rPr>
                <w:b/>
                <w:sz w:val="18"/>
                <w:szCs w:val="18"/>
              </w:rPr>
              <w:t xml:space="preserve"> Party</w:t>
            </w:r>
            <w:r w:rsidR="004E06BF" w:rsidRPr="0046551F">
              <w:rPr>
                <w:sz w:val="18"/>
                <w:szCs w:val="18"/>
                <w:vertAlign w:val="superscript"/>
              </w:rPr>
              <w:t>1</w:t>
            </w:r>
          </w:p>
        </w:tc>
        <w:tc>
          <w:tcPr>
            <w:tcW w:w="1059" w:type="dxa"/>
            <w:tcBorders>
              <w:left w:val="dotted" w:sz="8" w:space="0" w:color="1F497D"/>
              <w:right w:val="dotted" w:sz="8" w:space="0" w:color="1F497D"/>
            </w:tcBorders>
            <w:shd w:val="clear" w:color="auto" w:fill="auto"/>
          </w:tcPr>
          <w:p w:rsidR="00924112" w:rsidRPr="00A82A11" w:rsidRDefault="00924112" w:rsidP="00A82A11">
            <w:pPr>
              <w:pStyle w:val="PBOtext"/>
              <w:spacing w:before="0" w:after="0"/>
              <w:jc w:val="right"/>
              <w:rPr>
                <w:sz w:val="18"/>
                <w:szCs w:val="18"/>
              </w:rPr>
            </w:pPr>
          </w:p>
        </w:tc>
        <w:tc>
          <w:tcPr>
            <w:tcW w:w="1059" w:type="dxa"/>
            <w:tcBorders>
              <w:left w:val="dotted" w:sz="8" w:space="0" w:color="1F497D"/>
              <w:right w:val="dotted" w:sz="8" w:space="0" w:color="1F497D"/>
            </w:tcBorders>
            <w:shd w:val="clear" w:color="auto" w:fill="auto"/>
          </w:tcPr>
          <w:p w:rsidR="00924112" w:rsidRPr="00A82A11" w:rsidRDefault="00924112" w:rsidP="00A82A11">
            <w:pPr>
              <w:pStyle w:val="PBOtext"/>
              <w:spacing w:before="0" w:after="0"/>
              <w:jc w:val="right"/>
              <w:rPr>
                <w:sz w:val="18"/>
                <w:szCs w:val="18"/>
              </w:rPr>
            </w:pPr>
          </w:p>
        </w:tc>
        <w:tc>
          <w:tcPr>
            <w:tcW w:w="1059" w:type="dxa"/>
            <w:tcBorders>
              <w:left w:val="dotted" w:sz="8" w:space="0" w:color="1F497D"/>
              <w:right w:val="dotted" w:sz="8" w:space="0" w:color="1F497D"/>
            </w:tcBorders>
            <w:shd w:val="clear" w:color="auto" w:fill="auto"/>
          </w:tcPr>
          <w:p w:rsidR="00924112" w:rsidRPr="00A82A11" w:rsidRDefault="00924112" w:rsidP="00A82A11">
            <w:pPr>
              <w:pStyle w:val="PBOtext"/>
              <w:spacing w:before="0" w:after="0"/>
              <w:jc w:val="right"/>
              <w:rPr>
                <w:sz w:val="18"/>
                <w:szCs w:val="18"/>
              </w:rPr>
            </w:pPr>
          </w:p>
        </w:tc>
        <w:tc>
          <w:tcPr>
            <w:tcW w:w="1059" w:type="dxa"/>
            <w:tcBorders>
              <w:left w:val="dotted" w:sz="8" w:space="0" w:color="1F497D"/>
              <w:right w:val="dotted" w:sz="8" w:space="0" w:color="1F497D"/>
            </w:tcBorders>
            <w:shd w:val="clear" w:color="auto" w:fill="auto"/>
          </w:tcPr>
          <w:p w:rsidR="00924112" w:rsidRPr="00A82A11" w:rsidRDefault="00924112" w:rsidP="00A82A11">
            <w:pPr>
              <w:pStyle w:val="PBOtext"/>
              <w:spacing w:before="0" w:after="0"/>
              <w:jc w:val="right"/>
              <w:rPr>
                <w:sz w:val="18"/>
                <w:szCs w:val="18"/>
              </w:rPr>
            </w:pPr>
          </w:p>
        </w:tc>
        <w:tc>
          <w:tcPr>
            <w:tcW w:w="1059" w:type="dxa"/>
            <w:tcBorders>
              <w:left w:val="dotted" w:sz="8" w:space="0" w:color="1F497D"/>
              <w:right w:val="single" w:sz="8" w:space="0" w:color="1F497D"/>
            </w:tcBorders>
            <w:shd w:val="clear" w:color="auto" w:fill="auto"/>
          </w:tcPr>
          <w:p w:rsidR="00924112" w:rsidRPr="00A82A11" w:rsidRDefault="00924112" w:rsidP="00A82A11">
            <w:pPr>
              <w:pStyle w:val="PBOtext"/>
              <w:spacing w:before="0" w:after="0"/>
              <w:jc w:val="right"/>
              <w:rPr>
                <w:b/>
                <w:sz w:val="18"/>
                <w:szCs w:val="18"/>
              </w:rPr>
            </w:pPr>
          </w:p>
        </w:tc>
      </w:tr>
      <w:tr w:rsidR="00924112" w:rsidRPr="00EE4AEC" w:rsidTr="001C7062">
        <w:tc>
          <w:tcPr>
            <w:tcW w:w="3227" w:type="dxa"/>
            <w:tcBorders>
              <w:left w:val="single" w:sz="8" w:space="0" w:color="1F497D"/>
              <w:right w:val="dotted" w:sz="8" w:space="0" w:color="1F497D"/>
            </w:tcBorders>
            <w:shd w:val="clear" w:color="auto" w:fill="auto"/>
          </w:tcPr>
          <w:p w:rsidR="00924112" w:rsidRPr="00A82A11" w:rsidRDefault="00924112" w:rsidP="00A82A11">
            <w:pPr>
              <w:pStyle w:val="PBOtext"/>
              <w:spacing w:before="0" w:after="0"/>
              <w:rPr>
                <w:b/>
                <w:sz w:val="18"/>
                <w:szCs w:val="18"/>
              </w:rPr>
            </w:pPr>
            <w:r w:rsidRPr="00A82A11">
              <w:rPr>
                <w:b/>
                <w:sz w:val="18"/>
                <w:szCs w:val="18"/>
              </w:rPr>
              <w:t>Impact on underlying cash balance</w:t>
            </w:r>
          </w:p>
        </w:tc>
        <w:tc>
          <w:tcPr>
            <w:tcW w:w="1059" w:type="dxa"/>
            <w:tcBorders>
              <w:left w:val="dotted" w:sz="8" w:space="0" w:color="1F497D"/>
              <w:right w:val="dotted" w:sz="8" w:space="0" w:color="1F497D"/>
            </w:tcBorders>
            <w:shd w:val="clear" w:color="auto" w:fill="auto"/>
          </w:tcPr>
          <w:p w:rsidR="00924112" w:rsidRPr="00A82A11" w:rsidRDefault="00D252E0" w:rsidP="00A82A11">
            <w:pPr>
              <w:pStyle w:val="PBOtext"/>
              <w:spacing w:before="0" w:after="0"/>
              <w:jc w:val="right"/>
              <w:rPr>
                <w:sz w:val="18"/>
                <w:szCs w:val="18"/>
              </w:rPr>
            </w:pPr>
            <w:r>
              <w:rPr>
                <w:sz w:val="18"/>
                <w:szCs w:val="18"/>
              </w:rPr>
              <w:t>61.</w:t>
            </w:r>
            <w:r w:rsidR="00A473DE">
              <w:rPr>
                <w:sz w:val="18"/>
                <w:szCs w:val="18"/>
              </w:rPr>
              <w:t>1</w:t>
            </w:r>
          </w:p>
        </w:tc>
        <w:tc>
          <w:tcPr>
            <w:tcW w:w="1059" w:type="dxa"/>
            <w:tcBorders>
              <w:left w:val="dotted" w:sz="8" w:space="0" w:color="1F497D"/>
              <w:right w:val="dotted" w:sz="8" w:space="0" w:color="1F497D"/>
            </w:tcBorders>
            <w:shd w:val="clear" w:color="auto" w:fill="auto"/>
          </w:tcPr>
          <w:p w:rsidR="00924112" w:rsidRPr="00A82A11" w:rsidRDefault="00D252E0" w:rsidP="00632DCC">
            <w:pPr>
              <w:pStyle w:val="PBOtext"/>
              <w:spacing w:before="0" w:after="0"/>
              <w:jc w:val="right"/>
              <w:rPr>
                <w:sz w:val="18"/>
                <w:szCs w:val="18"/>
              </w:rPr>
            </w:pPr>
            <w:r>
              <w:rPr>
                <w:sz w:val="18"/>
                <w:szCs w:val="18"/>
              </w:rPr>
              <w:t>-97.</w:t>
            </w:r>
            <w:r w:rsidR="00632DCC">
              <w:rPr>
                <w:sz w:val="18"/>
                <w:szCs w:val="18"/>
              </w:rPr>
              <w:t>4</w:t>
            </w:r>
          </w:p>
        </w:tc>
        <w:tc>
          <w:tcPr>
            <w:tcW w:w="1059" w:type="dxa"/>
            <w:tcBorders>
              <w:left w:val="dotted" w:sz="8" w:space="0" w:color="1F497D"/>
              <w:right w:val="dotted" w:sz="8" w:space="0" w:color="1F497D"/>
            </w:tcBorders>
            <w:shd w:val="clear" w:color="auto" w:fill="auto"/>
          </w:tcPr>
          <w:p w:rsidR="00924112" w:rsidRPr="00A82A11" w:rsidRDefault="00D252E0" w:rsidP="00632DCC">
            <w:pPr>
              <w:pStyle w:val="PBOtext"/>
              <w:spacing w:before="0" w:after="0"/>
              <w:jc w:val="right"/>
              <w:rPr>
                <w:sz w:val="18"/>
                <w:szCs w:val="18"/>
              </w:rPr>
            </w:pPr>
            <w:r>
              <w:rPr>
                <w:sz w:val="18"/>
                <w:szCs w:val="18"/>
              </w:rPr>
              <w:t>-7</w:t>
            </w:r>
            <w:r w:rsidR="00632DCC">
              <w:rPr>
                <w:sz w:val="18"/>
                <w:szCs w:val="18"/>
              </w:rPr>
              <w:t>3.0</w:t>
            </w:r>
          </w:p>
        </w:tc>
        <w:tc>
          <w:tcPr>
            <w:tcW w:w="1059" w:type="dxa"/>
            <w:tcBorders>
              <w:left w:val="dotted" w:sz="8" w:space="0" w:color="1F497D"/>
              <w:right w:val="dotted" w:sz="8" w:space="0" w:color="1F497D"/>
            </w:tcBorders>
            <w:shd w:val="clear" w:color="auto" w:fill="auto"/>
          </w:tcPr>
          <w:p w:rsidR="00924112" w:rsidRPr="00A82A11" w:rsidRDefault="00D252E0" w:rsidP="00A82A11">
            <w:pPr>
              <w:pStyle w:val="PBOtext"/>
              <w:spacing w:before="0" w:after="0"/>
              <w:jc w:val="right"/>
              <w:rPr>
                <w:sz w:val="18"/>
                <w:szCs w:val="18"/>
              </w:rPr>
            </w:pPr>
            <w:r>
              <w:rPr>
                <w:sz w:val="18"/>
                <w:szCs w:val="18"/>
              </w:rPr>
              <w:t>118.9</w:t>
            </w:r>
          </w:p>
        </w:tc>
        <w:tc>
          <w:tcPr>
            <w:tcW w:w="1059" w:type="dxa"/>
            <w:tcBorders>
              <w:left w:val="dotted" w:sz="8" w:space="0" w:color="1F497D"/>
              <w:right w:val="single" w:sz="8" w:space="0" w:color="1F497D"/>
            </w:tcBorders>
            <w:shd w:val="clear" w:color="auto" w:fill="auto"/>
          </w:tcPr>
          <w:p w:rsidR="00924112" w:rsidRPr="00A82A11" w:rsidRDefault="00D252E0" w:rsidP="00A473DE">
            <w:pPr>
              <w:pStyle w:val="PBOtext"/>
              <w:spacing w:before="0" w:after="0"/>
              <w:jc w:val="right"/>
              <w:rPr>
                <w:b/>
                <w:sz w:val="18"/>
                <w:szCs w:val="18"/>
              </w:rPr>
            </w:pPr>
            <w:r>
              <w:rPr>
                <w:b/>
                <w:sz w:val="18"/>
                <w:szCs w:val="18"/>
              </w:rPr>
              <w:t>9.</w:t>
            </w:r>
            <w:r w:rsidR="00632DCC">
              <w:rPr>
                <w:b/>
                <w:sz w:val="18"/>
                <w:szCs w:val="18"/>
              </w:rPr>
              <w:t>5</w:t>
            </w:r>
          </w:p>
        </w:tc>
      </w:tr>
      <w:tr w:rsidR="00924112" w:rsidRPr="00EE4AEC" w:rsidTr="001C7062">
        <w:tc>
          <w:tcPr>
            <w:tcW w:w="3227" w:type="dxa"/>
            <w:tcBorders>
              <w:left w:val="single" w:sz="8" w:space="0" w:color="1F497D"/>
              <w:right w:val="dotted" w:sz="8" w:space="0" w:color="1F497D"/>
            </w:tcBorders>
            <w:shd w:val="clear" w:color="auto" w:fill="auto"/>
          </w:tcPr>
          <w:p w:rsidR="00924112" w:rsidRPr="00A82A11" w:rsidRDefault="00924112" w:rsidP="00A82A11">
            <w:pPr>
              <w:pStyle w:val="PBOtext"/>
              <w:spacing w:before="0" w:after="0"/>
              <w:rPr>
                <w:b/>
                <w:sz w:val="18"/>
                <w:szCs w:val="18"/>
              </w:rPr>
            </w:pPr>
            <w:r w:rsidRPr="00A82A11">
              <w:rPr>
                <w:b/>
                <w:sz w:val="18"/>
                <w:szCs w:val="18"/>
              </w:rPr>
              <w:t>Impact of fiscal balance</w:t>
            </w:r>
          </w:p>
        </w:tc>
        <w:tc>
          <w:tcPr>
            <w:tcW w:w="1059" w:type="dxa"/>
            <w:tcBorders>
              <w:left w:val="dotted" w:sz="8" w:space="0" w:color="1F497D"/>
              <w:right w:val="dotted" w:sz="8" w:space="0" w:color="1F497D"/>
            </w:tcBorders>
            <w:shd w:val="clear" w:color="auto" w:fill="auto"/>
          </w:tcPr>
          <w:p w:rsidR="00924112" w:rsidRPr="00A82A11" w:rsidRDefault="00D252E0" w:rsidP="00A473DE">
            <w:pPr>
              <w:pStyle w:val="PBOtext"/>
              <w:spacing w:before="0" w:after="0"/>
              <w:jc w:val="right"/>
              <w:rPr>
                <w:sz w:val="18"/>
                <w:szCs w:val="18"/>
                <w:vertAlign w:val="superscript"/>
              </w:rPr>
            </w:pPr>
            <w:r>
              <w:rPr>
                <w:sz w:val="18"/>
                <w:szCs w:val="18"/>
              </w:rPr>
              <w:t>61.</w:t>
            </w:r>
            <w:r w:rsidR="00A473DE">
              <w:rPr>
                <w:sz w:val="18"/>
                <w:szCs w:val="18"/>
              </w:rPr>
              <w:t>1</w:t>
            </w:r>
          </w:p>
        </w:tc>
        <w:tc>
          <w:tcPr>
            <w:tcW w:w="1059" w:type="dxa"/>
            <w:tcBorders>
              <w:left w:val="dotted" w:sz="8" w:space="0" w:color="1F497D"/>
              <w:right w:val="dotted" w:sz="8" w:space="0" w:color="1F497D"/>
            </w:tcBorders>
            <w:shd w:val="clear" w:color="auto" w:fill="auto"/>
          </w:tcPr>
          <w:p w:rsidR="00924112" w:rsidRPr="00A82A11" w:rsidRDefault="00D252E0" w:rsidP="00632DCC">
            <w:pPr>
              <w:pStyle w:val="PBOtext"/>
              <w:spacing w:before="0" w:after="0"/>
              <w:jc w:val="right"/>
              <w:rPr>
                <w:sz w:val="18"/>
                <w:szCs w:val="18"/>
              </w:rPr>
            </w:pPr>
            <w:r>
              <w:rPr>
                <w:sz w:val="18"/>
                <w:szCs w:val="18"/>
              </w:rPr>
              <w:t>-91.</w:t>
            </w:r>
            <w:r w:rsidR="00632DCC">
              <w:rPr>
                <w:sz w:val="18"/>
                <w:szCs w:val="18"/>
              </w:rPr>
              <w:t>2</w:t>
            </w:r>
          </w:p>
        </w:tc>
        <w:tc>
          <w:tcPr>
            <w:tcW w:w="1059" w:type="dxa"/>
            <w:tcBorders>
              <w:left w:val="dotted" w:sz="8" w:space="0" w:color="1F497D"/>
              <w:right w:val="dotted" w:sz="8" w:space="0" w:color="1F497D"/>
            </w:tcBorders>
            <w:shd w:val="clear" w:color="auto" w:fill="auto"/>
          </w:tcPr>
          <w:p w:rsidR="00924112" w:rsidRPr="00A82A11" w:rsidRDefault="00D252E0" w:rsidP="00632DCC">
            <w:pPr>
              <w:pStyle w:val="PBOtext"/>
              <w:spacing w:before="0" w:after="0"/>
              <w:jc w:val="right"/>
              <w:rPr>
                <w:sz w:val="18"/>
                <w:szCs w:val="18"/>
              </w:rPr>
            </w:pPr>
            <w:r>
              <w:rPr>
                <w:sz w:val="18"/>
                <w:szCs w:val="18"/>
              </w:rPr>
              <w:t>-73.</w:t>
            </w:r>
            <w:r w:rsidR="00632DCC">
              <w:rPr>
                <w:sz w:val="18"/>
                <w:szCs w:val="18"/>
              </w:rPr>
              <w:t>2</w:t>
            </w:r>
          </w:p>
        </w:tc>
        <w:tc>
          <w:tcPr>
            <w:tcW w:w="1059" w:type="dxa"/>
            <w:tcBorders>
              <w:left w:val="dotted" w:sz="8" w:space="0" w:color="1F497D"/>
              <w:right w:val="dotted" w:sz="8" w:space="0" w:color="1F497D"/>
            </w:tcBorders>
            <w:shd w:val="clear" w:color="auto" w:fill="auto"/>
          </w:tcPr>
          <w:p w:rsidR="00924112" w:rsidRPr="00A82A11" w:rsidRDefault="00D252E0" w:rsidP="00A82A11">
            <w:pPr>
              <w:pStyle w:val="PBOtext"/>
              <w:spacing w:before="0" w:after="0"/>
              <w:jc w:val="right"/>
              <w:rPr>
                <w:sz w:val="18"/>
                <w:szCs w:val="18"/>
              </w:rPr>
            </w:pPr>
            <w:r>
              <w:rPr>
                <w:sz w:val="18"/>
                <w:szCs w:val="18"/>
              </w:rPr>
              <w:t>118.8</w:t>
            </w:r>
          </w:p>
        </w:tc>
        <w:tc>
          <w:tcPr>
            <w:tcW w:w="1059" w:type="dxa"/>
            <w:tcBorders>
              <w:left w:val="dotted" w:sz="8" w:space="0" w:color="1F497D"/>
              <w:right w:val="single" w:sz="8" w:space="0" w:color="1F497D"/>
            </w:tcBorders>
            <w:shd w:val="clear" w:color="auto" w:fill="auto"/>
          </w:tcPr>
          <w:p w:rsidR="00924112" w:rsidRPr="00A82A11" w:rsidRDefault="00D252E0" w:rsidP="00632DCC">
            <w:pPr>
              <w:pStyle w:val="PBOtext"/>
              <w:spacing w:before="0" w:after="0"/>
              <w:jc w:val="right"/>
              <w:rPr>
                <w:b/>
                <w:sz w:val="18"/>
                <w:szCs w:val="18"/>
              </w:rPr>
            </w:pPr>
            <w:r>
              <w:rPr>
                <w:b/>
                <w:sz w:val="18"/>
                <w:szCs w:val="18"/>
              </w:rPr>
              <w:t>15.</w:t>
            </w:r>
            <w:r w:rsidR="00632DCC">
              <w:rPr>
                <w:b/>
                <w:sz w:val="18"/>
                <w:szCs w:val="18"/>
              </w:rPr>
              <w:t>4</w:t>
            </w:r>
          </w:p>
        </w:tc>
      </w:tr>
      <w:tr w:rsidR="00924112" w:rsidRPr="00EE4AEC" w:rsidTr="001C7062">
        <w:tc>
          <w:tcPr>
            <w:tcW w:w="3227" w:type="dxa"/>
            <w:tcBorders>
              <w:left w:val="single" w:sz="8" w:space="0" w:color="1F497D"/>
              <w:right w:val="dotted" w:sz="8" w:space="0" w:color="1F497D"/>
            </w:tcBorders>
            <w:shd w:val="clear" w:color="auto" w:fill="auto"/>
          </w:tcPr>
          <w:p w:rsidR="00924112" w:rsidRPr="00A82A11" w:rsidRDefault="00924112" w:rsidP="00A82A11">
            <w:pPr>
              <w:pStyle w:val="PBOtext"/>
              <w:spacing w:before="0" w:after="0"/>
              <w:rPr>
                <w:b/>
                <w:sz w:val="18"/>
                <w:szCs w:val="18"/>
              </w:rPr>
            </w:pPr>
          </w:p>
        </w:tc>
        <w:tc>
          <w:tcPr>
            <w:tcW w:w="1059" w:type="dxa"/>
            <w:tcBorders>
              <w:left w:val="dotted" w:sz="8" w:space="0" w:color="1F497D"/>
              <w:right w:val="dotted" w:sz="8" w:space="0" w:color="1F497D"/>
            </w:tcBorders>
            <w:shd w:val="clear" w:color="auto" w:fill="auto"/>
          </w:tcPr>
          <w:p w:rsidR="00924112" w:rsidRPr="00A82A11" w:rsidRDefault="00924112" w:rsidP="00A82A11">
            <w:pPr>
              <w:pStyle w:val="PBOtext"/>
              <w:spacing w:before="0" w:after="0"/>
              <w:jc w:val="right"/>
              <w:rPr>
                <w:sz w:val="18"/>
                <w:szCs w:val="18"/>
              </w:rPr>
            </w:pPr>
          </w:p>
        </w:tc>
        <w:tc>
          <w:tcPr>
            <w:tcW w:w="1059" w:type="dxa"/>
            <w:tcBorders>
              <w:left w:val="dotted" w:sz="8" w:space="0" w:color="1F497D"/>
              <w:right w:val="dotted" w:sz="8" w:space="0" w:color="1F497D"/>
            </w:tcBorders>
            <w:shd w:val="clear" w:color="auto" w:fill="auto"/>
          </w:tcPr>
          <w:p w:rsidR="00924112" w:rsidRPr="00A82A11" w:rsidRDefault="00924112" w:rsidP="00A82A11">
            <w:pPr>
              <w:pStyle w:val="PBOtext"/>
              <w:spacing w:before="0" w:after="0"/>
              <w:jc w:val="right"/>
              <w:rPr>
                <w:sz w:val="18"/>
                <w:szCs w:val="18"/>
              </w:rPr>
            </w:pPr>
          </w:p>
        </w:tc>
        <w:tc>
          <w:tcPr>
            <w:tcW w:w="1059" w:type="dxa"/>
            <w:tcBorders>
              <w:left w:val="dotted" w:sz="8" w:space="0" w:color="1F497D"/>
              <w:right w:val="dotted" w:sz="8" w:space="0" w:color="1F497D"/>
            </w:tcBorders>
            <w:shd w:val="clear" w:color="auto" w:fill="auto"/>
          </w:tcPr>
          <w:p w:rsidR="00924112" w:rsidRPr="00A82A11" w:rsidRDefault="00924112" w:rsidP="00A82A11">
            <w:pPr>
              <w:pStyle w:val="PBOtext"/>
              <w:spacing w:before="0" w:after="0"/>
              <w:jc w:val="right"/>
              <w:rPr>
                <w:sz w:val="18"/>
                <w:szCs w:val="18"/>
              </w:rPr>
            </w:pPr>
          </w:p>
        </w:tc>
        <w:tc>
          <w:tcPr>
            <w:tcW w:w="1059" w:type="dxa"/>
            <w:tcBorders>
              <w:left w:val="dotted" w:sz="8" w:space="0" w:color="1F497D"/>
              <w:right w:val="dotted" w:sz="8" w:space="0" w:color="1F497D"/>
            </w:tcBorders>
            <w:shd w:val="clear" w:color="auto" w:fill="auto"/>
          </w:tcPr>
          <w:p w:rsidR="00924112" w:rsidRPr="00A82A11" w:rsidRDefault="00924112" w:rsidP="00A82A11">
            <w:pPr>
              <w:pStyle w:val="PBOtext"/>
              <w:spacing w:before="0" w:after="0"/>
              <w:jc w:val="right"/>
              <w:rPr>
                <w:sz w:val="18"/>
                <w:szCs w:val="18"/>
              </w:rPr>
            </w:pPr>
          </w:p>
        </w:tc>
        <w:tc>
          <w:tcPr>
            <w:tcW w:w="1059" w:type="dxa"/>
            <w:tcBorders>
              <w:left w:val="dotted" w:sz="8" w:space="0" w:color="1F497D"/>
              <w:right w:val="single" w:sz="8" w:space="0" w:color="1F497D"/>
            </w:tcBorders>
            <w:shd w:val="clear" w:color="auto" w:fill="auto"/>
          </w:tcPr>
          <w:p w:rsidR="00924112" w:rsidRPr="00A82A11" w:rsidRDefault="00924112" w:rsidP="00A82A11">
            <w:pPr>
              <w:pStyle w:val="PBOtext"/>
              <w:spacing w:before="0" w:after="0"/>
              <w:jc w:val="right"/>
              <w:rPr>
                <w:b/>
                <w:sz w:val="18"/>
                <w:szCs w:val="18"/>
              </w:rPr>
            </w:pPr>
          </w:p>
        </w:tc>
      </w:tr>
      <w:tr w:rsidR="00924112" w:rsidRPr="00EE4AEC" w:rsidTr="001C7062">
        <w:tc>
          <w:tcPr>
            <w:tcW w:w="3227" w:type="dxa"/>
            <w:tcBorders>
              <w:left w:val="single" w:sz="8" w:space="0" w:color="1F497D"/>
              <w:right w:val="dotted" w:sz="8" w:space="0" w:color="1F497D"/>
            </w:tcBorders>
            <w:shd w:val="clear" w:color="auto" w:fill="auto"/>
          </w:tcPr>
          <w:p w:rsidR="00924112" w:rsidRPr="00A82A11" w:rsidRDefault="00924112" w:rsidP="004E06BF">
            <w:pPr>
              <w:pStyle w:val="PBOtext"/>
              <w:spacing w:before="0" w:after="0"/>
              <w:rPr>
                <w:b/>
                <w:sz w:val="18"/>
                <w:szCs w:val="18"/>
                <w:vertAlign w:val="superscript"/>
              </w:rPr>
            </w:pPr>
            <w:r w:rsidRPr="00A82A11">
              <w:rPr>
                <w:b/>
                <w:sz w:val="18"/>
                <w:szCs w:val="18"/>
              </w:rPr>
              <w:t>Coalition</w:t>
            </w:r>
            <w:r w:rsidR="00E30DC8" w:rsidRPr="0046551F">
              <w:rPr>
                <w:sz w:val="18"/>
                <w:szCs w:val="18"/>
                <w:vertAlign w:val="superscript"/>
              </w:rPr>
              <w:t>1</w:t>
            </w:r>
          </w:p>
        </w:tc>
        <w:tc>
          <w:tcPr>
            <w:tcW w:w="1059" w:type="dxa"/>
            <w:tcBorders>
              <w:left w:val="dotted" w:sz="8" w:space="0" w:color="1F497D"/>
              <w:right w:val="dotted" w:sz="8" w:space="0" w:color="1F497D"/>
            </w:tcBorders>
            <w:shd w:val="clear" w:color="auto" w:fill="auto"/>
          </w:tcPr>
          <w:p w:rsidR="00924112" w:rsidRPr="00A82A11" w:rsidRDefault="00924112" w:rsidP="00A82A11">
            <w:pPr>
              <w:pStyle w:val="PBOtext"/>
              <w:spacing w:before="0" w:after="0"/>
              <w:jc w:val="right"/>
              <w:rPr>
                <w:sz w:val="18"/>
                <w:szCs w:val="18"/>
              </w:rPr>
            </w:pPr>
          </w:p>
        </w:tc>
        <w:tc>
          <w:tcPr>
            <w:tcW w:w="1059" w:type="dxa"/>
            <w:tcBorders>
              <w:left w:val="dotted" w:sz="8" w:space="0" w:color="1F497D"/>
              <w:right w:val="dotted" w:sz="8" w:space="0" w:color="1F497D"/>
            </w:tcBorders>
            <w:shd w:val="clear" w:color="auto" w:fill="auto"/>
          </w:tcPr>
          <w:p w:rsidR="00924112" w:rsidRPr="00A82A11" w:rsidRDefault="00924112" w:rsidP="00A82A11">
            <w:pPr>
              <w:pStyle w:val="PBOtext"/>
              <w:spacing w:before="0" w:after="0"/>
              <w:jc w:val="right"/>
              <w:rPr>
                <w:sz w:val="18"/>
                <w:szCs w:val="18"/>
              </w:rPr>
            </w:pPr>
          </w:p>
        </w:tc>
        <w:tc>
          <w:tcPr>
            <w:tcW w:w="1059" w:type="dxa"/>
            <w:tcBorders>
              <w:left w:val="dotted" w:sz="8" w:space="0" w:color="1F497D"/>
              <w:right w:val="dotted" w:sz="8" w:space="0" w:color="1F497D"/>
            </w:tcBorders>
            <w:shd w:val="clear" w:color="auto" w:fill="auto"/>
          </w:tcPr>
          <w:p w:rsidR="00924112" w:rsidRPr="00A82A11" w:rsidRDefault="00924112" w:rsidP="00A82A11">
            <w:pPr>
              <w:pStyle w:val="PBOtext"/>
              <w:spacing w:before="0" w:after="0"/>
              <w:jc w:val="right"/>
              <w:rPr>
                <w:sz w:val="18"/>
                <w:szCs w:val="18"/>
              </w:rPr>
            </w:pPr>
          </w:p>
        </w:tc>
        <w:tc>
          <w:tcPr>
            <w:tcW w:w="1059" w:type="dxa"/>
            <w:tcBorders>
              <w:left w:val="dotted" w:sz="8" w:space="0" w:color="1F497D"/>
              <w:right w:val="dotted" w:sz="8" w:space="0" w:color="1F497D"/>
            </w:tcBorders>
            <w:shd w:val="clear" w:color="auto" w:fill="auto"/>
          </w:tcPr>
          <w:p w:rsidR="00924112" w:rsidRPr="00A82A11" w:rsidRDefault="00924112" w:rsidP="00A82A11">
            <w:pPr>
              <w:pStyle w:val="PBOtext"/>
              <w:spacing w:before="0" w:after="0"/>
              <w:jc w:val="right"/>
              <w:rPr>
                <w:sz w:val="18"/>
                <w:szCs w:val="18"/>
              </w:rPr>
            </w:pPr>
          </w:p>
        </w:tc>
        <w:tc>
          <w:tcPr>
            <w:tcW w:w="1059" w:type="dxa"/>
            <w:tcBorders>
              <w:left w:val="dotted" w:sz="8" w:space="0" w:color="1F497D"/>
              <w:right w:val="single" w:sz="8" w:space="0" w:color="1F497D"/>
            </w:tcBorders>
            <w:shd w:val="clear" w:color="auto" w:fill="auto"/>
          </w:tcPr>
          <w:p w:rsidR="00924112" w:rsidRPr="00A82A11" w:rsidRDefault="00924112" w:rsidP="00A82A11">
            <w:pPr>
              <w:pStyle w:val="PBOtext"/>
              <w:spacing w:before="0" w:after="0"/>
              <w:jc w:val="right"/>
              <w:rPr>
                <w:b/>
                <w:sz w:val="18"/>
                <w:szCs w:val="18"/>
              </w:rPr>
            </w:pPr>
          </w:p>
        </w:tc>
      </w:tr>
      <w:tr w:rsidR="00924112" w:rsidRPr="00EE4AEC" w:rsidTr="001C7062">
        <w:tc>
          <w:tcPr>
            <w:tcW w:w="3227" w:type="dxa"/>
            <w:tcBorders>
              <w:left w:val="single" w:sz="8" w:space="0" w:color="1F497D"/>
              <w:right w:val="dotted" w:sz="8" w:space="0" w:color="1F497D"/>
            </w:tcBorders>
            <w:shd w:val="clear" w:color="auto" w:fill="auto"/>
          </w:tcPr>
          <w:p w:rsidR="00924112" w:rsidRPr="00A82A11" w:rsidRDefault="00924112" w:rsidP="00A82A11">
            <w:pPr>
              <w:pStyle w:val="PBOtext"/>
              <w:spacing w:before="0" w:after="0"/>
              <w:rPr>
                <w:b/>
                <w:sz w:val="18"/>
                <w:szCs w:val="18"/>
              </w:rPr>
            </w:pPr>
            <w:r w:rsidRPr="00A82A11">
              <w:rPr>
                <w:b/>
                <w:sz w:val="18"/>
                <w:szCs w:val="18"/>
              </w:rPr>
              <w:t>Impact on underlying cash balance</w:t>
            </w:r>
          </w:p>
        </w:tc>
        <w:tc>
          <w:tcPr>
            <w:tcW w:w="1059" w:type="dxa"/>
            <w:tcBorders>
              <w:left w:val="dotted" w:sz="8" w:space="0" w:color="1F497D"/>
              <w:right w:val="dotted" w:sz="8" w:space="0" w:color="1F497D"/>
            </w:tcBorders>
            <w:shd w:val="clear" w:color="auto" w:fill="auto"/>
          </w:tcPr>
          <w:p w:rsidR="00924112" w:rsidRPr="00A82A11" w:rsidRDefault="009829F7" w:rsidP="006E6B2A">
            <w:pPr>
              <w:pStyle w:val="PBOtext"/>
              <w:spacing w:before="0" w:after="0"/>
              <w:jc w:val="right"/>
              <w:rPr>
                <w:sz w:val="18"/>
                <w:szCs w:val="18"/>
              </w:rPr>
            </w:pPr>
            <w:r>
              <w:rPr>
                <w:sz w:val="18"/>
                <w:szCs w:val="18"/>
              </w:rPr>
              <w:t>70</w:t>
            </w:r>
            <w:r w:rsidR="006E6B2A">
              <w:rPr>
                <w:sz w:val="18"/>
                <w:szCs w:val="18"/>
              </w:rPr>
              <w:t>2</w:t>
            </w:r>
            <w:r>
              <w:rPr>
                <w:sz w:val="18"/>
                <w:szCs w:val="18"/>
              </w:rPr>
              <w:t>.</w:t>
            </w:r>
            <w:r w:rsidR="006E6B2A">
              <w:rPr>
                <w:sz w:val="18"/>
                <w:szCs w:val="18"/>
              </w:rPr>
              <w:t>3</w:t>
            </w:r>
          </w:p>
        </w:tc>
        <w:tc>
          <w:tcPr>
            <w:tcW w:w="1059" w:type="dxa"/>
            <w:tcBorders>
              <w:left w:val="dotted" w:sz="8" w:space="0" w:color="1F497D"/>
              <w:right w:val="dotted" w:sz="8" w:space="0" w:color="1F497D"/>
            </w:tcBorders>
            <w:shd w:val="clear" w:color="auto" w:fill="auto"/>
          </w:tcPr>
          <w:p w:rsidR="00924112" w:rsidRPr="00A82A11" w:rsidRDefault="009829F7" w:rsidP="006E6B2A">
            <w:pPr>
              <w:pStyle w:val="PBOtext"/>
              <w:spacing w:before="0" w:after="0"/>
              <w:jc w:val="right"/>
              <w:rPr>
                <w:sz w:val="18"/>
                <w:szCs w:val="18"/>
              </w:rPr>
            </w:pPr>
            <w:r>
              <w:rPr>
                <w:sz w:val="18"/>
                <w:szCs w:val="18"/>
              </w:rPr>
              <w:t>4,1</w:t>
            </w:r>
            <w:r w:rsidR="006E6B2A">
              <w:rPr>
                <w:sz w:val="18"/>
                <w:szCs w:val="18"/>
              </w:rPr>
              <w:t>00</w:t>
            </w:r>
            <w:r>
              <w:rPr>
                <w:sz w:val="18"/>
                <w:szCs w:val="18"/>
              </w:rPr>
              <w:t>.</w:t>
            </w:r>
            <w:r w:rsidR="00DD6107">
              <w:rPr>
                <w:sz w:val="18"/>
                <w:szCs w:val="18"/>
              </w:rPr>
              <w:t>7</w:t>
            </w:r>
          </w:p>
        </w:tc>
        <w:tc>
          <w:tcPr>
            <w:tcW w:w="1059" w:type="dxa"/>
            <w:tcBorders>
              <w:left w:val="dotted" w:sz="8" w:space="0" w:color="1F497D"/>
              <w:right w:val="dotted" w:sz="8" w:space="0" w:color="1F497D"/>
            </w:tcBorders>
            <w:shd w:val="clear" w:color="auto" w:fill="auto"/>
          </w:tcPr>
          <w:p w:rsidR="00924112" w:rsidRPr="00A82A11" w:rsidRDefault="009829F7" w:rsidP="006E6B2A">
            <w:pPr>
              <w:pStyle w:val="PBOtext"/>
              <w:spacing w:before="0" w:after="0"/>
              <w:jc w:val="right"/>
              <w:rPr>
                <w:sz w:val="18"/>
                <w:szCs w:val="18"/>
              </w:rPr>
            </w:pPr>
            <w:r>
              <w:rPr>
                <w:sz w:val="18"/>
                <w:szCs w:val="18"/>
              </w:rPr>
              <w:t>1,6</w:t>
            </w:r>
            <w:r w:rsidR="006E6B2A">
              <w:rPr>
                <w:sz w:val="18"/>
                <w:szCs w:val="18"/>
              </w:rPr>
              <w:t>60</w:t>
            </w:r>
            <w:r>
              <w:rPr>
                <w:sz w:val="18"/>
                <w:szCs w:val="18"/>
              </w:rPr>
              <w:t>.</w:t>
            </w:r>
            <w:r w:rsidR="006E6B2A">
              <w:rPr>
                <w:sz w:val="18"/>
                <w:szCs w:val="18"/>
              </w:rPr>
              <w:t>5</w:t>
            </w:r>
          </w:p>
        </w:tc>
        <w:tc>
          <w:tcPr>
            <w:tcW w:w="1059" w:type="dxa"/>
            <w:tcBorders>
              <w:left w:val="dotted" w:sz="8" w:space="0" w:color="1F497D"/>
              <w:right w:val="dotted" w:sz="8" w:space="0" w:color="1F497D"/>
            </w:tcBorders>
            <w:shd w:val="clear" w:color="auto" w:fill="auto"/>
          </w:tcPr>
          <w:p w:rsidR="00924112" w:rsidRPr="00A82A11" w:rsidRDefault="00DD6107" w:rsidP="006E6B2A">
            <w:pPr>
              <w:pStyle w:val="PBOtext"/>
              <w:spacing w:before="0" w:after="0"/>
              <w:jc w:val="right"/>
              <w:rPr>
                <w:sz w:val="18"/>
                <w:szCs w:val="18"/>
              </w:rPr>
            </w:pPr>
            <w:r>
              <w:rPr>
                <w:sz w:val="18"/>
                <w:szCs w:val="18"/>
              </w:rPr>
              <w:t>681.8</w:t>
            </w:r>
          </w:p>
        </w:tc>
        <w:tc>
          <w:tcPr>
            <w:tcW w:w="1059" w:type="dxa"/>
            <w:tcBorders>
              <w:left w:val="dotted" w:sz="8" w:space="0" w:color="1F497D"/>
              <w:right w:val="single" w:sz="8" w:space="0" w:color="1F497D"/>
            </w:tcBorders>
            <w:shd w:val="clear" w:color="auto" w:fill="auto"/>
          </w:tcPr>
          <w:p w:rsidR="00924112" w:rsidRPr="00A82A11" w:rsidRDefault="009829F7" w:rsidP="00DD6107">
            <w:pPr>
              <w:pStyle w:val="PBOtext"/>
              <w:spacing w:before="0" w:after="0"/>
              <w:jc w:val="right"/>
              <w:rPr>
                <w:b/>
                <w:sz w:val="18"/>
                <w:szCs w:val="18"/>
              </w:rPr>
            </w:pPr>
            <w:r>
              <w:rPr>
                <w:b/>
                <w:sz w:val="18"/>
                <w:szCs w:val="18"/>
              </w:rPr>
              <w:t>7,</w:t>
            </w:r>
            <w:r w:rsidR="00DD6107">
              <w:rPr>
                <w:b/>
                <w:sz w:val="18"/>
                <w:szCs w:val="18"/>
              </w:rPr>
              <w:t>145</w:t>
            </w:r>
            <w:r>
              <w:rPr>
                <w:b/>
                <w:sz w:val="18"/>
                <w:szCs w:val="18"/>
              </w:rPr>
              <w:t>.</w:t>
            </w:r>
            <w:r w:rsidR="00DD6107">
              <w:rPr>
                <w:b/>
                <w:sz w:val="18"/>
                <w:szCs w:val="18"/>
              </w:rPr>
              <w:t>5</w:t>
            </w:r>
          </w:p>
        </w:tc>
      </w:tr>
      <w:tr w:rsidR="00924112" w:rsidRPr="00EE4AEC" w:rsidTr="001C7062">
        <w:tc>
          <w:tcPr>
            <w:tcW w:w="3227" w:type="dxa"/>
            <w:tcBorders>
              <w:left w:val="single" w:sz="8" w:space="0" w:color="1F497D"/>
              <w:right w:val="dotted" w:sz="8" w:space="0" w:color="1F497D"/>
            </w:tcBorders>
            <w:shd w:val="clear" w:color="auto" w:fill="auto"/>
          </w:tcPr>
          <w:p w:rsidR="00924112" w:rsidRPr="00A82A11" w:rsidRDefault="00924112" w:rsidP="00A82A11">
            <w:pPr>
              <w:pStyle w:val="PBOtext"/>
              <w:spacing w:before="0" w:after="0"/>
              <w:rPr>
                <w:b/>
                <w:sz w:val="18"/>
                <w:szCs w:val="18"/>
              </w:rPr>
            </w:pPr>
            <w:r w:rsidRPr="00A82A11">
              <w:rPr>
                <w:b/>
                <w:sz w:val="18"/>
                <w:szCs w:val="18"/>
              </w:rPr>
              <w:t>Impact of fiscal balance</w:t>
            </w:r>
          </w:p>
        </w:tc>
        <w:tc>
          <w:tcPr>
            <w:tcW w:w="1059" w:type="dxa"/>
            <w:tcBorders>
              <w:left w:val="dotted" w:sz="8" w:space="0" w:color="1F497D"/>
              <w:right w:val="dotted" w:sz="8" w:space="0" w:color="1F497D"/>
            </w:tcBorders>
            <w:shd w:val="clear" w:color="auto" w:fill="auto"/>
          </w:tcPr>
          <w:p w:rsidR="00924112" w:rsidRPr="00A82A11" w:rsidRDefault="009829F7" w:rsidP="006E6B2A">
            <w:pPr>
              <w:pStyle w:val="PBOtext"/>
              <w:spacing w:before="0" w:after="0"/>
              <w:jc w:val="right"/>
              <w:rPr>
                <w:sz w:val="18"/>
                <w:szCs w:val="18"/>
                <w:vertAlign w:val="superscript"/>
              </w:rPr>
            </w:pPr>
            <w:r>
              <w:rPr>
                <w:sz w:val="18"/>
                <w:szCs w:val="18"/>
              </w:rPr>
              <w:t>2,87</w:t>
            </w:r>
            <w:r w:rsidR="006E6B2A">
              <w:rPr>
                <w:sz w:val="18"/>
                <w:szCs w:val="18"/>
              </w:rPr>
              <w:t>2</w:t>
            </w:r>
            <w:r>
              <w:rPr>
                <w:sz w:val="18"/>
                <w:szCs w:val="18"/>
              </w:rPr>
              <w:t>.</w:t>
            </w:r>
            <w:r w:rsidR="006E6B2A">
              <w:rPr>
                <w:sz w:val="18"/>
                <w:szCs w:val="18"/>
              </w:rPr>
              <w:t>3</w:t>
            </w:r>
          </w:p>
        </w:tc>
        <w:tc>
          <w:tcPr>
            <w:tcW w:w="1059" w:type="dxa"/>
            <w:tcBorders>
              <w:left w:val="dotted" w:sz="8" w:space="0" w:color="1F497D"/>
              <w:right w:val="dotted" w:sz="8" w:space="0" w:color="1F497D"/>
            </w:tcBorders>
            <w:shd w:val="clear" w:color="auto" w:fill="auto"/>
          </w:tcPr>
          <w:p w:rsidR="00924112" w:rsidRPr="00A82A11" w:rsidRDefault="009829F7" w:rsidP="00DD6107">
            <w:pPr>
              <w:pStyle w:val="PBOtext"/>
              <w:spacing w:before="0" w:after="0"/>
              <w:jc w:val="right"/>
              <w:rPr>
                <w:sz w:val="18"/>
                <w:szCs w:val="18"/>
              </w:rPr>
            </w:pPr>
            <w:r>
              <w:rPr>
                <w:sz w:val="18"/>
                <w:szCs w:val="18"/>
              </w:rPr>
              <w:t>4</w:t>
            </w:r>
            <w:r w:rsidR="006E6B2A">
              <w:rPr>
                <w:sz w:val="18"/>
                <w:szCs w:val="18"/>
              </w:rPr>
              <w:t>,</w:t>
            </w:r>
            <w:r>
              <w:rPr>
                <w:sz w:val="18"/>
                <w:szCs w:val="18"/>
              </w:rPr>
              <w:t>3</w:t>
            </w:r>
            <w:r w:rsidR="006E6B2A">
              <w:rPr>
                <w:sz w:val="18"/>
                <w:szCs w:val="18"/>
              </w:rPr>
              <w:t>03.</w:t>
            </w:r>
            <w:r w:rsidR="00DD6107">
              <w:rPr>
                <w:sz w:val="18"/>
                <w:szCs w:val="18"/>
              </w:rPr>
              <w:t>2</w:t>
            </w:r>
          </w:p>
        </w:tc>
        <w:tc>
          <w:tcPr>
            <w:tcW w:w="1059" w:type="dxa"/>
            <w:tcBorders>
              <w:left w:val="dotted" w:sz="8" w:space="0" w:color="1F497D"/>
              <w:right w:val="dotted" w:sz="8" w:space="0" w:color="1F497D"/>
            </w:tcBorders>
            <w:shd w:val="clear" w:color="auto" w:fill="auto"/>
          </w:tcPr>
          <w:p w:rsidR="00924112" w:rsidRPr="00A82A11" w:rsidRDefault="009829F7" w:rsidP="006E6B2A">
            <w:pPr>
              <w:pStyle w:val="PBOtext"/>
              <w:spacing w:before="0" w:after="0"/>
              <w:jc w:val="right"/>
              <w:rPr>
                <w:sz w:val="18"/>
                <w:szCs w:val="18"/>
              </w:rPr>
            </w:pPr>
            <w:r>
              <w:rPr>
                <w:sz w:val="18"/>
                <w:szCs w:val="18"/>
              </w:rPr>
              <w:t>1,55</w:t>
            </w:r>
            <w:r w:rsidR="006E6B2A">
              <w:rPr>
                <w:sz w:val="18"/>
                <w:szCs w:val="18"/>
              </w:rPr>
              <w:t>4</w:t>
            </w:r>
            <w:r>
              <w:rPr>
                <w:sz w:val="18"/>
                <w:szCs w:val="18"/>
              </w:rPr>
              <w:t>.</w:t>
            </w:r>
            <w:r w:rsidR="006E6B2A">
              <w:rPr>
                <w:sz w:val="18"/>
                <w:szCs w:val="18"/>
              </w:rPr>
              <w:t>0</w:t>
            </w:r>
          </w:p>
        </w:tc>
        <w:tc>
          <w:tcPr>
            <w:tcW w:w="1059" w:type="dxa"/>
            <w:tcBorders>
              <w:left w:val="dotted" w:sz="8" w:space="0" w:color="1F497D"/>
              <w:right w:val="dotted" w:sz="8" w:space="0" w:color="1F497D"/>
            </w:tcBorders>
            <w:shd w:val="clear" w:color="auto" w:fill="auto"/>
          </w:tcPr>
          <w:p w:rsidR="00924112" w:rsidRPr="00A82A11" w:rsidRDefault="00DD6107" w:rsidP="006E6B2A">
            <w:pPr>
              <w:pStyle w:val="PBOtext"/>
              <w:spacing w:before="0" w:after="0"/>
              <w:jc w:val="right"/>
              <w:rPr>
                <w:sz w:val="18"/>
                <w:szCs w:val="18"/>
              </w:rPr>
            </w:pPr>
            <w:r>
              <w:rPr>
                <w:sz w:val="18"/>
                <w:szCs w:val="18"/>
              </w:rPr>
              <w:t>560.3</w:t>
            </w:r>
          </w:p>
        </w:tc>
        <w:tc>
          <w:tcPr>
            <w:tcW w:w="1059" w:type="dxa"/>
            <w:tcBorders>
              <w:left w:val="dotted" w:sz="8" w:space="0" w:color="1F497D"/>
              <w:right w:val="single" w:sz="8" w:space="0" w:color="1F497D"/>
            </w:tcBorders>
            <w:shd w:val="clear" w:color="auto" w:fill="auto"/>
          </w:tcPr>
          <w:p w:rsidR="00924112" w:rsidRPr="00A82A11" w:rsidRDefault="009829F7" w:rsidP="00DD6107">
            <w:pPr>
              <w:pStyle w:val="PBOtext"/>
              <w:spacing w:before="0" w:after="0"/>
              <w:jc w:val="right"/>
              <w:rPr>
                <w:b/>
                <w:sz w:val="18"/>
                <w:szCs w:val="18"/>
              </w:rPr>
            </w:pPr>
            <w:r>
              <w:rPr>
                <w:b/>
                <w:sz w:val="18"/>
                <w:szCs w:val="18"/>
              </w:rPr>
              <w:t>9,</w:t>
            </w:r>
            <w:r w:rsidR="00DD6107">
              <w:rPr>
                <w:b/>
                <w:sz w:val="18"/>
                <w:szCs w:val="18"/>
              </w:rPr>
              <w:t>290.0</w:t>
            </w:r>
          </w:p>
        </w:tc>
      </w:tr>
      <w:tr w:rsidR="00924112" w:rsidRPr="00EE4AEC" w:rsidTr="001C7062">
        <w:tc>
          <w:tcPr>
            <w:tcW w:w="3227" w:type="dxa"/>
            <w:tcBorders>
              <w:left w:val="single" w:sz="8" w:space="0" w:color="1F497D"/>
              <w:right w:val="dotted" w:sz="8" w:space="0" w:color="1F497D"/>
            </w:tcBorders>
            <w:shd w:val="clear" w:color="auto" w:fill="auto"/>
          </w:tcPr>
          <w:p w:rsidR="00924112" w:rsidRPr="00A82A11" w:rsidRDefault="00924112" w:rsidP="00A82A11">
            <w:pPr>
              <w:pStyle w:val="PBOtext"/>
              <w:spacing w:before="0" w:after="0"/>
              <w:rPr>
                <w:b/>
                <w:sz w:val="18"/>
                <w:szCs w:val="18"/>
              </w:rPr>
            </w:pPr>
          </w:p>
        </w:tc>
        <w:tc>
          <w:tcPr>
            <w:tcW w:w="1059" w:type="dxa"/>
            <w:tcBorders>
              <w:left w:val="dotted" w:sz="8" w:space="0" w:color="1F497D"/>
              <w:right w:val="dotted" w:sz="8" w:space="0" w:color="1F497D"/>
            </w:tcBorders>
            <w:shd w:val="clear" w:color="auto" w:fill="auto"/>
          </w:tcPr>
          <w:p w:rsidR="00924112" w:rsidRPr="00A82A11" w:rsidRDefault="00924112" w:rsidP="00A82A11">
            <w:pPr>
              <w:pStyle w:val="PBOtext"/>
              <w:spacing w:before="0" w:after="0"/>
              <w:jc w:val="right"/>
              <w:rPr>
                <w:sz w:val="18"/>
                <w:szCs w:val="18"/>
              </w:rPr>
            </w:pPr>
          </w:p>
        </w:tc>
        <w:tc>
          <w:tcPr>
            <w:tcW w:w="1059" w:type="dxa"/>
            <w:tcBorders>
              <w:left w:val="dotted" w:sz="8" w:space="0" w:color="1F497D"/>
              <w:right w:val="dotted" w:sz="8" w:space="0" w:color="1F497D"/>
            </w:tcBorders>
            <w:shd w:val="clear" w:color="auto" w:fill="auto"/>
          </w:tcPr>
          <w:p w:rsidR="00924112" w:rsidRPr="00A82A11" w:rsidRDefault="00924112" w:rsidP="00A82A11">
            <w:pPr>
              <w:pStyle w:val="PBOtext"/>
              <w:spacing w:before="0" w:after="0"/>
              <w:jc w:val="right"/>
              <w:rPr>
                <w:sz w:val="18"/>
                <w:szCs w:val="18"/>
              </w:rPr>
            </w:pPr>
          </w:p>
        </w:tc>
        <w:tc>
          <w:tcPr>
            <w:tcW w:w="1059" w:type="dxa"/>
            <w:tcBorders>
              <w:left w:val="dotted" w:sz="8" w:space="0" w:color="1F497D"/>
              <w:right w:val="dotted" w:sz="8" w:space="0" w:color="1F497D"/>
            </w:tcBorders>
            <w:shd w:val="clear" w:color="auto" w:fill="auto"/>
          </w:tcPr>
          <w:p w:rsidR="00924112" w:rsidRPr="00A82A11" w:rsidRDefault="00924112" w:rsidP="00A82A11">
            <w:pPr>
              <w:pStyle w:val="PBOtext"/>
              <w:spacing w:before="0" w:after="0"/>
              <w:jc w:val="right"/>
              <w:rPr>
                <w:sz w:val="18"/>
                <w:szCs w:val="18"/>
              </w:rPr>
            </w:pPr>
          </w:p>
        </w:tc>
        <w:tc>
          <w:tcPr>
            <w:tcW w:w="1059" w:type="dxa"/>
            <w:tcBorders>
              <w:left w:val="dotted" w:sz="8" w:space="0" w:color="1F497D"/>
              <w:right w:val="dotted" w:sz="8" w:space="0" w:color="1F497D"/>
            </w:tcBorders>
            <w:shd w:val="clear" w:color="auto" w:fill="auto"/>
          </w:tcPr>
          <w:p w:rsidR="00924112" w:rsidRPr="00A82A11" w:rsidRDefault="00924112" w:rsidP="00A82A11">
            <w:pPr>
              <w:pStyle w:val="PBOtext"/>
              <w:spacing w:before="0" w:after="0"/>
              <w:jc w:val="right"/>
              <w:rPr>
                <w:sz w:val="18"/>
                <w:szCs w:val="18"/>
              </w:rPr>
            </w:pPr>
          </w:p>
        </w:tc>
        <w:tc>
          <w:tcPr>
            <w:tcW w:w="1059" w:type="dxa"/>
            <w:tcBorders>
              <w:left w:val="dotted" w:sz="8" w:space="0" w:color="1F497D"/>
              <w:right w:val="single" w:sz="8" w:space="0" w:color="1F497D"/>
            </w:tcBorders>
            <w:shd w:val="clear" w:color="auto" w:fill="auto"/>
          </w:tcPr>
          <w:p w:rsidR="00924112" w:rsidRPr="00A82A11" w:rsidRDefault="00924112" w:rsidP="00A82A11">
            <w:pPr>
              <w:pStyle w:val="PBOtext"/>
              <w:spacing w:before="0" w:after="0"/>
              <w:jc w:val="right"/>
              <w:rPr>
                <w:b/>
                <w:sz w:val="18"/>
                <w:szCs w:val="18"/>
              </w:rPr>
            </w:pPr>
          </w:p>
        </w:tc>
      </w:tr>
      <w:tr w:rsidR="00924112" w:rsidRPr="00EE4AEC" w:rsidTr="001C7062">
        <w:tc>
          <w:tcPr>
            <w:tcW w:w="3227" w:type="dxa"/>
            <w:tcBorders>
              <w:left w:val="single" w:sz="8" w:space="0" w:color="1F497D"/>
              <w:right w:val="dotted" w:sz="8" w:space="0" w:color="1F497D"/>
            </w:tcBorders>
            <w:shd w:val="clear" w:color="auto" w:fill="auto"/>
          </w:tcPr>
          <w:p w:rsidR="00924112" w:rsidRPr="00A82A11" w:rsidRDefault="00924112" w:rsidP="00A82A11">
            <w:pPr>
              <w:pStyle w:val="PBOtext"/>
              <w:spacing w:before="0" w:after="0"/>
              <w:rPr>
                <w:b/>
                <w:sz w:val="18"/>
                <w:szCs w:val="18"/>
              </w:rPr>
            </w:pPr>
            <w:r w:rsidRPr="00A82A11">
              <w:rPr>
                <w:b/>
                <w:sz w:val="18"/>
                <w:szCs w:val="18"/>
              </w:rPr>
              <w:t>Australian Greens</w:t>
            </w:r>
            <w:r w:rsidR="00E30DC8">
              <w:rPr>
                <w:sz w:val="18"/>
                <w:szCs w:val="18"/>
                <w:vertAlign w:val="superscript"/>
              </w:rPr>
              <w:t>1</w:t>
            </w:r>
          </w:p>
        </w:tc>
        <w:tc>
          <w:tcPr>
            <w:tcW w:w="1059" w:type="dxa"/>
            <w:tcBorders>
              <w:left w:val="dotted" w:sz="8" w:space="0" w:color="1F497D"/>
              <w:right w:val="dotted" w:sz="8" w:space="0" w:color="1F497D"/>
            </w:tcBorders>
            <w:shd w:val="clear" w:color="auto" w:fill="auto"/>
          </w:tcPr>
          <w:p w:rsidR="00924112" w:rsidRPr="00A82A11" w:rsidRDefault="00924112" w:rsidP="00A82A11">
            <w:pPr>
              <w:pStyle w:val="PBOtext"/>
              <w:spacing w:before="0" w:after="0"/>
              <w:jc w:val="right"/>
              <w:rPr>
                <w:sz w:val="18"/>
                <w:szCs w:val="18"/>
              </w:rPr>
            </w:pPr>
          </w:p>
        </w:tc>
        <w:tc>
          <w:tcPr>
            <w:tcW w:w="1059" w:type="dxa"/>
            <w:tcBorders>
              <w:left w:val="dotted" w:sz="8" w:space="0" w:color="1F497D"/>
              <w:right w:val="dotted" w:sz="8" w:space="0" w:color="1F497D"/>
            </w:tcBorders>
            <w:shd w:val="clear" w:color="auto" w:fill="auto"/>
          </w:tcPr>
          <w:p w:rsidR="00924112" w:rsidRPr="00A82A11" w:rsidRDefault="00924112" w:rsidP="00A82A11">
            <w:pPr>
              <w:pStyle w:val="PBOtext"/>
              <w:spacing w:before="0" w:after="0"/>
              <w:jc w:val="right"/>
              <w:rPr>
                <w:sz w:val="18"/>
                <w:szCs w:val="18"/>
              </w:rPr>
            </w:pPr>
          </w:p>
        </w:tc>
        <w:tc>
          <w:tcPr>
            <w:tcW w:w="1059" w:type="dxa"/>
            <w:tcBorders>
              <w:left w:val="dotted" w:sz="8" w:space="0" w:color="1F497D"/>
              <w:right w:val="dotted" w:sz="8" w:space="0" w:color="1F497D"/>
            </w:tcBorders>
            <w:shd w:val="clear" w:color="auto" w:fill="auto"/>
          </w:tcPr>
          <w:p w:rsidR="00924112" w:rsidRPr="00A82A11" w:rsidRDefault="00924112" w:rsidP="00A82A11">
            <w:pPr>
              <w:pStyle w:val="PBOtext"/>
              <w:spacing w:before="0" w:after="0"/>
              <w:jc w:val="right"/>
              <w:rPr>
                <w:sz w:val="18"/>
                <w:szCs w:val="18"/>
              </w:rPr>
            </w:pPr>
          </w:p>
        </w:tc>
        <w:tc>
          <w:tcPr>
            <w:tcW w:w="1059" w:type="dxa"/>
            <w:tcBorders>
              <w:left w:val="dotted" w:sz="8" w:space="0" w:color="1F497D"/>
              <w:right w:val="dotted" w:sz="8" w:space="0" w:color="1F497D"/>
            </w:tcBorders>
            <w:shd w:val="clear" w:color="auto" w:fill="auto"/>
          </w:tcPr>
          <w:p w:rsidR="00924112" w:rsidRPr="00A82A11" w:rsidRDefault="00924112" w:rsidP="00A82A11">
            <w:pPr>
              <w:pStyle w:val="PBOtext"/>
              <w:spacing w:before="0" w:after="0"/>
              <w:jc w:val="right"/>
              <w:rPr>
                <w:sz w:val="18"/>
                <w:szCs w:val="18"/>
              </w:rPr>
            </w:pPr>
          </w:p>
        </w:tc>
        <w:tc>
          <w:tcPr>
            <w:tcW w:w="1059" w:type="dxa"/>
            <w:tcBorders>
              <w:left w:val="dotted" w:sz="8" w:space="0" w:color="1F497D"/>
              <w:right w:val="single" w:sz="8" w:space="0" w:color="1F497D"/>
            </w:tcBorders>
            <w:shd w:val="clear" w:color="auto" w:fill="auto"/>
          </w:tcPr>
          <w:p w:rsidR="00924112" w:rsidRPr="00A82A11" w:rsidRDefault="00924112" w:rsidP="00A82A11">
            <w:pPr>
              <w:pStyle w:val="PBOtext"/>
              <w:spacing w:before="0" w:after="0"/>
              <w:jc w:val="right"/>
              <w:rPr>
                <w:b/>
                <w:sz w:val="18"/>
                <w:szCs w:val="18"/>
              </w:rPr>
            </w:pPr>
          </w:p>
        </w:tc>
      </w:tr>
      <w:tr w:rsidR="00924112" w:rsidRPr="002804F4" w:rsidTr="001C7062">
        <w:tc>
          <w:tcPr>
            <w:tcW w:w="3227" w:type="dxa"/>
            <w:tcBorders>
              <w:left w:val="single" w:sz="8" w:space="0" w:color="1F497D"/>
              <w:right w:val="dotted" w:sz="8" w:space="0" w:color="1F497D"/>
            </w:tcBorders>
            <w:shd w:val="clear" w:color="auto" w:fill="auto"/>
          </w:tcPr>
          <w:p w:rsidR="00924112" w:rsidRPr="002804F4" w:rsidRDefault="00924112" w:rsidP="00A82A11">
            <w:pPr>
              <w:pStyle w:val="PBOtext"/>
              <w:spacing w:before="0" w:after="0"/>
              <w:rPr>
                <w:b/>
                <w:sz w:val="18"/>
                <w:szCs w:val="18"/>
              </w:rPr>
            </w:pPr>
            <w:r w:rsidRPr="002804F4">
              <w:rPr>
                <w:b/>
                <w:sz w:val="18"/>
                <w:szCs w:val="18"/>
              </w:rPr>
              <w:t>Impact on underlying cash balance</w:t>
            </w:r>
          </w:p>
        </w:tc>
        <w:tc>
          <w:tcPr>
            <w:tcW w:w="1059" w:type="dxa"/>
            <w:tcBorders>
              <w:left w:val="dotted" w:sz="8" w:space="0" w:color="1F497D"/>
              <w:right w:val="dotted" w:sz="8" w:space="0" w:color="1F497D"/>
            </w:tcBorders>
            <w:shd w:val="clear" w:color="auto" w:fill="auto"/>
          </w:tcPr>
          <w:p w:rsidR="00924112" w:rsidRPr="002804F4" w:rsidRDefault="000F53DF" w:rsidP="006E74A4">
            <w:pPr>
              <w:pStyle w:val="PBOtext"/>
              <w:spacing w:before="0" w:after="0"/>
              <w:jc w:val="right"/>
              <w:rPr>
                <w:sz w:val="18"/>
                <w:szCs w:val="18"/>
              </w:rPr>
            </w:pPr>
            <w:r w:rsidRPr="002804F4">
              <w:rPr>
                <w:sz w:val="18"/>
                <w:szCs w:val="18"/>
              </w:rPr>
              <w:t>-</w:t>
            </w:r>
            <w:r w:rsidR="006E74A4" w:rsidRPr="002804F4">
              <w:rPr>
                <w:sz w:val="18"/>
                <w:szCs w:val="18"/>
              </w:rPr>
              <w:t>293</w:t>
            </w:r>
            <w:r w:rsidRPr="002804F4">
              <w:rPr>
                <w:sz w:val="18"/>
                <w:szCs w:val="18"/>
              </w:rPr>
              <w:t>.2</w:t>
            </w:r>
          </w:p>
        </w:tc>
        <w:tc>
          <w:tcPr>
            <w:tcW w:w="1059" w:type="dxa"/>
            <w:tcBorders>
              <w:left w:val="dotted" w:sz="8" w:space="0" w:color="1F497D"/>
              <w:right w:val="dotted" w:sz="8" w:space="0" w:color="1F497D"/>
            </w:tcBorders>
            <w:shd w:val="clear" w:color="auto" w:fill="auto"/>
          </w:tcPr>
          <w:p w:rsidR="00924112" w:rsidRPr="002804F4" w:rsidRDefault="000F53DF" w:rsidP="006E74A4">
            <w:pPr>
              <w:pStyle w:val="PBOtext"/>
              <w:spacing w:before="0" w:after="0"/>
              <w:jc w:val="right"/>
              <w:rPr>
                <w:sz w:val="18"/>
                <w:szCs w:val="18"/>
              </w:rPr>
            </w:pPr>
            <w:r w:rsidRPr="002804F4">
              <w:rPr>
                <w:sz w:val="18"/>
                <w:szCs w:val="18"/>
              </w:rPr>
              <w:t>1,74</w:t>
            </w:r>
            <w:r w:rsidR="006E74A4" w:rsidRPr="002804F4">
              <w:rPr>
                <w:sz w:val="18"/>
                <w:szCs w:val="18"/>
              </w:rPr>
              <w:t>4</w:t>
            </w:r>
            <w:r w:rsidRPr="002804F4">
              <w:rPr>
                <w:sz w:val="18"/>
                <w:szCs w:val="18"/>
              </w:rPr>
              <w:t>.</w:t>
            </w:r>
            <w:r w:rsidR="006E74A4" w:rsidRPr="002804F4">
              <w:rPr>
                <w:sz w:val="18"/>
                <w:szCs w:val="18"/>
              </w:rPr>
              <w:t>8</w:t>
            </w:r>
          </w:p>
        </w:tc>
        <w:tc>
          <w:tcPr>
            <w:tcW w:w="1059" w:type="dxa"/>
            <w:tcBorders>
              <w:left w:val="dotted" w:sz="8" w:space="0" w:color="1F497D"/>
              <w:right w:val="dotted" w:sz="8" w:space="0" w:color="1F497D"/>
            </w:tcBorders>
            <w:shd w:val="clear" w:color="auto" w:fill="auto"/>
          </w:tcPr>
          <w:p w:rsidR="00924112" w:rsidRPr="002804F4" w:rsidRDefault="000F53DF" w:rsidP="006E74A4">
            <w:pPr>
              <w:pStyle w:val="PBOtext"/>
              <w:spacing w:before="0" w:after="0"/>
              <w:jc w:val="right"/>
              <w:rPr>
                <w:sz w:val="18"/>
                <w:szCs w:val="18"/>
              </w:rPr>
            </w:pPr>
            <w:r w:rsidRPr="002804F4">
              <w:rPr>
                <w:sz w:val="18"/>
                <w:szCs w:val="18"/>
              </w:rPr>
              <w:t>71</w:t>
            </w:r>
            <w:r w:rsidR="006E74A4" w:rsidRPr="002804F4">
              <w:rPr>
                <w:sz w:val="18"/>
                <w:szCs w:val="18"/>
              </w:rPr>
              <w:t>1</w:t>
            </w:r>
            <w:r w:rsidRPr="002804F4">
              <w:rPr>
                <w:sz w:val="18"/>
                <w:szCs w:val="18"/>
              </w:rPr>
              <w:t>.</w:t>
            </w:r>
            <w:r w:rsidR="006E74A4" w:rsidRPr="002804F4">
              <w:rPr>
                <w:sz w:val="18"/>
                <w:szCs w:val="18"/>
              </w:rPr>
              <w:t>1</w:t>
            </w:r>
          </w:p>
        </w:tc>
        <w:tc>
          <w:tcPr>
            <w:tcW w:w="1059" w:type="dxa"/>
            <w:tcBorders>
              <w:left w:val="dotted" w:sz="8" w:space="0" w:color="1F497D"/>
              <w:right w:val="dotted" w:sz="8" w:space="0" w:color="1F497D"/>
            </w:tcBorders>
            <w:shd w:val="clear" w:color="auto" w:fill="auto"/>
          </w:tcPr>
          <w:p w:rsidR="00924112" w:rsidRPr="002804F4" w:rsidRDefault="000F53DF" w:rsidP="006E74A4">
            <w:pPr>
              <w:pStyle w:val="PBOtext"/>
              <w:spacing w:before="0" w:after="0"/>
              <w:jc w:val="right"/>
              <w:rPr>
                <w:sz w:val="18"/>
                <w:szCs w:val="18"/>
              </w:rPr>
            </w:pPr>
            <w:r w:rsidRPr="002804F4">
              <w:rPr>
                <w:sz w:val="18"/>
                <w:szCs w:val="18"/>
              </w:rPr>
              <w:t>-1</w:t>
            </w:r>
            <w:r w:rsidR="006E74A4" w:rsidRPr="002804F4">
              <w:rPr>
                <w:sz w:val="18"/>
                <w:szCs w:val="18"/>
              </w:rPr>
              <w:t>00.0</w:t>
            </w:r>
          </w:p>
        </w:tc>
        <w:tc>
          <w:tcPr>
            <w:tcW w:w="1059" w:type="dxa"/>
            <w:tcBorders>
              <w:left w:val="dotted" w:sz="8" w:space="0" w:color="1F497D"/>
              <w:right w:val="single" w:sz="8" w:space="0" w:color="1F497D"/>
            </w:tcBorders>
            <w:shd w:val="clear" w:color="auto" w:fill="auto"/>
          </w:tcPr>
          <w:p w:rsidR="00924112" w:rsidRPr="002804F4" w:rsidRDefault="006E74A4" w:rsidP="006E74A4">
            <w:pPr>
              <w:pStyle w:val="PBOtext"/>
              <w:spacing w:before="0" w:after="0"/>
              <w:jc w:val="right"/>
              <w:rPr>
                <w:b/>
                <w:sz w:val="18"/>
                <w:szCs w:val="18"/>
              </w:rPr>
            </w:pPr>
            <w:r w:rsidRPr="002804F4">
              <w:rPr>
                <w:b/>
                <w:sz w:val="18"/>
                <w:szCs w:val="18"/>
              </w:rPr>
              <w:t>2</w:t>
            </w:r>
            <w:r w:rsidR="000F53DF" w:rsidRPr="002804F4">
              <w:rPr>
                <w:b/>
                <w:sz w:val="18"/>
                <w:szCs w:val="18"/>
              </w:rPr>
              <w:t>,</w:t>
            </w:r>
            <w:r w:rsidRPr="002804F4">
              <w:rPr>
                <w:b/>
                <w:sz w:val="18"/>
                <w:szCs w:val="18"/>
              </w:rPr>
              <w:t>0</w:t>
            </w:r>
            <w:r w:rsidR="000F53DF" w:rsidRPr="002804F4">
              <w:rPr>
                <w:b/>
                <w:sz w:val="18"/>
                <w:szCs w:val="18"/>
              </w:rPr>
              <w:t>6</w:t>
            </w:r>
            <w:r w:rsidRPr="002804F4">
              <w:rPr>
                <w:b/>
                <w:sz w:val="18"/>
                <w:szCs w:val="18"/>
              </w:rPr>
              <w:t>2</w:t>
            </w:r>
            <w:r w:rsidR="000F53DF" w:rsidRPr="002804F4">
              <w:rPr>
                <w:b/>
                <w:sz w:val="18"/>
                <w:szCs w:val="18"/>
              </w:rPr>
              <w:t>.</w:t>
            </w:r>
            <w:r w:rsidRPr="002804F4">
              <w:rPr>
                <w:b/>
                <w:sz w:val="18"/>
                <w:szCs w:val="18"/>
              </w:rPr>
              <w:t>5</w:t>
            </w:r>
          </w:p>
        </w:tc>
      </w:tr>
      <w:tr w:rsidR="00924112" w:rsidRPr="002804F4" w:rsidTr="001C7062">
        <w:tc>
          <w:tcPr>
            <w:tcW w:w="3227" w:type="dxa"/>
            <w:tcBorders>
              <w:left w:val="single" w:sz="8" w:space="0" w:color="1F497D"/>
              <w:right w:val="dotted" w:sz="8" w:space="0" w:color="1F497D"/>
            </w:tcBorders>
            <w:shd w:val="clear" w:color="auto" w:fill="auto"/>
          </w:tcPr>
          <w:p w:rsidR="00924112" w:rsidRPr="002804F4" w:rsidRDefault="00924112" w:rsidP="00A82A11">
            <w:pPr>
              <w:pStyle w:val="PBOtext"/>
              <w:spacing w:before="0" w:after="0"/>
              <w:rPr>
                <w:b/>
                <w:sz w:val="18"/>
                <w:szCs w:val="18"/>
              </w:rPr>
            </w:pPr>
            <w:r w:rsidRPr="002804F4">
              <w:rPr>
                <w:b/>
                <w:sz w:val="18"/>
                <w:szCs w:val="18"/>
              </w:rPr>
              <w:t>Impact of fiscal balance</w:t>
            </w:r>
          </w:p>
        </w:tc>
        <w:tc>
          <w:tcPr>
            <w:tcW w:w="1059" w:type="dxa"/>
            <w:tcBorders>
              <w:left w:val="dotted" w:sz="8" w:space="0" w:color="1F497D"/>
              <w:right w:val="dotted" w:sz="8" w:space="0" w:color="1F497D"/>
            </w:tcBorders>
            <w:shd w:val="clear" w:color="auto" w:fill="auto"/>
          </w:tcPr>
          <w:p w:rsidR="00924112" w:rsidRPr="002804F4" w:rsidRDefault="006E74A4" w:rsidP="000F53DF">
            <w:pPr>
              <w:pStyle w:val="PBOtext"/>
              <w:spacing w:before="0" w:after="0"/>
              <w:jc w:val="right"/>
              <w:rPr>
                <w:sz w:val="18"/>
                <w:szCs w:val="18"/>
                <w:vertAlign w:val="superscript"/>
              </w:rPr>
            </w:pPr>
            <w:r w:rsidRPr="002804F4">
              <w:rPr>
                <w:sz w:val="18"/>
                <w:szCs w:val="18"/>
              </w:rPr>
              <w:t>211</w:t>
            </w:r>
            <w:r w:rsidR="000F53DF" w:rsidRPr="002804F4">
              <w:rPr>
                <w:sz w:val="18"/>
                <w:szCs w:val="18"/>
              </w:rPr>
              <w:t>.2</w:t>
            </w:r>
          </w:p>
        </w:tc>
        <w:tc>
          <w:tcPr>
            <w:tcW w:w="1059" w:type="dxa"/>
            <w:tcBorders>
              <w:left w:val="dotted" w:sz="8" w:space="0" w:color="1F497D"/>
              <w:right w:val="dotted" w:sz="8" w:space="0" w:color="1F497D"/>
            </w:tcBorders>
            <w:shd w:val="clear" w:color="auto" w:fill="auto"/>
          </w:tcPr>
          <w:p w:rsidR="00924112" w:rsidRPr="002804F4" w:rsidRDefault="000F53DF" w:rsidP="006E74A4">
            <w:pPr>
              <w:pStyle w:val="PBOtext"/>
              <w:spacing w:before="0" w:after="0"/>
              <w:jc w:val="right"/>
              <w:rPr>
                <w:sz w:val="18"/>
                <w:szCs w:val="18"/>
              </w:rPr>
            </w:pPr>
            <w:r w:rsidRPr="002804F4">
              <w:rPr>
                <w:sz w:val="18"/>
                <w:szCs w:val="18"/>
              </w:rPr>
              <w:t>1,81</w:t>
            </w:r>
            <w:r w:rsidR="006E74A4" w:rsidRPr="002804F4">
              <w:rPr>
                <w:sz w:val="18"/>
                <w:szCs w:val="18"/>
              </w:rPr>
              <w:t>4</w:t>
            </w:r>
            <w:r w:rsidRPr="002804F4">
              <w:rPr>
                <w:sz w:val="18"/>
                <w:szCs w:val="18"/>
              </w:rPr>
              <w:t>.</w:t>
            </w:r>
            <w:r w:rsidR="006E74A4" w:rsidRPr="002804F4">
              <w:rPr>
                <w:sz w:val="18"/>
                <w:szCs w:val="18"/>
              </w:rPr>
              <w:t>6</w:t>
            </w:r>
          </w:p>
        </w:tc>
        <w:tc>
          <w:tcPr>
            <w:tcW w:w="1059" w:type="dxa"/>
            <w:tcBorders>
              <w:left w:val="dotted" w:sz="8" w:space="0" w:color="1F497D"/>
              <w:right w:val="dotted" w:sz="8" w:space="0" w:color="1F497D"/>
            </w:tcBorders>
            <w:shd w:val="clear" w:color="auto" w:fill="auto"/>
          </w:tcPr>
          <w:p w:rsidR="00924112" w:rsidRPr="002804F4" w:rsidRDefault="000F53DF" w:rsidP="006E74A4">
            <w:pPr>
              <w:pStyle w:val="PBOtext"/>
              <w:spacing w:before="0" w:after="0"/>
              <w:jc w:val="right"/>
              <w:rPr>
                <w:sz w:val="18"/>
                <w:szCs w:val="18"/>
              </w:rPr>
            </w:pPr>
            <w:r w:rsidRPr="002804F4">
              <w:rPr>
                <w:sz w:val="18"/>
                <w:szCs w:val="18"/>
              </w:rPr>
              <w:t>-1,53</w:t>
            </w:r>
            <w:r w:rsidR="006E74A4" w:rsidRPr="002804F4">
              <w:rPr>
                <w:sz w:val="18"/>
                <w:szCs w:val="18"/>
              </w:rPr>
              <w:t>7</w:t>
            </w:r>
            <w:r w:rsidRPr="002804F4">
              <w:rPr>
                <w:sz w:val="18"/>
                <w:szCs w:val="18"/>
              </w:rPr>
              <w:t>.</w:t>
            </w:r>
            <w:r w:rsidR="006E74A4" w:rsidRPr="002804F4">
              <w:rPr>
                <w:sz w:val="18"/>
                <w:szCs w:val="18"/>
              </w:rPr>
              <w:t>8</w:t>
            </w:r>
          </w:p>
        </w:tc>
        <w:tc>
          <w:tcPr>
            <w:tcW w:w="1059" w:type="dxa"/>
            <w:tcBorders>
              <w:left w:val="dotted" w:sz="8" w:space="0" w:color="1F497D"/>
              <w:right w:val="dotted" w:sz="8" w:space="0" w:color="1F497D"/>
            </w:tcBorders>
            <w:shd w:val="clear" w:color="auto" w:fill="auto"/>
          </w:tcPr>
          <w:p w:rsidR="00924112" w:rsidRPr="002804F4" w:rsidRDefault="000F53DF" w:rsidP="006E74A4">
            <w:pPr>
              <w:pStyle w:val="PBOtext"/>
              <w:spacing w:before="0" w:after="0"/>
              <w:jc w:val="right"/>
              <w:rPr>
                <w:sz w:val="18"/>
                <w:szCs w:val="18"/>
              </w:rPr>
            </w:pPr>
            <w:r w:rsidRPr="002804F4">
              <w:rPr>
                <w:sz w:val="18"/>
                <w:szCs w:val="18"/>
              </w:rPr>
              <w:t>-</w:t>
            </w:r>
            <w:r w:rsidR="006E74A4" w:rsidRPr="002804F4">
              <w:rPr>
                <w:sz w:val="18"/>
                <w:szCs w:val="18"/>
              </w:rPr>
              <w:t>105.9</w:t>
            </w:r>
          </w:p>
        </w:tc>
        <w:tc>
          <w:tcPr>
            <w:tcW w:w="1059" w:type="dxa"/>
            <w:tcBorders>
              <w:left w:val="dotted" w:sz="8" w:space="0" w:color="1F497D"/>
              <w:right w:val="single" w:sz="8" w:space="0" w:color="1F497D"/>
            </w:tcBorders>
            <w:shd w:val="clear" w:color="auto" w:fill="auto"/>
          </w:tcPr>
          <w:p w:rsidR="00924112" w:rsidRPr="002804F4" w:rsidRDefault="006E74A4" w:rsidP="006E74A4">
            <w:pPr>
              <w:pStyle w:val="PBOtext"/>
              <w:spacing w:before="0" w:after="0"/>
              <w:jc w:val="right"/>
              <w:rPr>
                <w:b/>
                <w:sz w:val="18"/>
                <w:szCs w:val="18"/>
              </w:rPr>
            </w:pPr>
            <w:r w:rsidRPr="002804F4">
              <w:rPr>
                <w:b/>
                <w:sz w:val="18"/>
                <w:szCs w:val="18"/>
              </w:rPr>
              <w:t>381.8</w:t>
            </w:r>
          </w:p>
        </w:tc>
      </w:tr>
      <w:tr w:rsidR="00924112" w:rsidRPr="00EE4AEC" w:rsidTr="001C7062">
        <w:tc>
          <w:tcPr>
            <w:tcW w:w="3227" w:type="dxa"/>
            <w:tcBorders>
              <w:left w:val="single" w:sz="8" w:space="0" w:color="1F497D"/>
              <w:bottom w:val="single" w:sz="8" w:space="0" w:color="1F497D"/>
              <w:right w:val="dotted" w:sz="8" w:space="0" w:color="1F497D"/>
            </w:tcBorders>
            <w:shd w:val="clear" w:color="auto" w:fill="auto"/>
          </w:tcPr>
          <w:p w:rsidR="00924112" w:rsidRPr="00A82A11" w:rsidRDefault="00924112" w:rsidP="00A82A11">
            <w:pPr>
              <w:pStyle w:val="PBOtext"/>
              <w:spacing w:before="0" w:after="0"/>
              <w:rPr>
                <w:b/>
                <w:sz w:val="18"/>
                <w:szCs w:val="18"/>
              </w:rPr>
            </w:pPr>
          </w:p>
        </w:tc>
        <w:tc>
          <w:tcPr>
            <w:tcW w:w="1059" w:type="dxa"/>
            <w:tcBorders>
              <w:left w:val="dotted" w:sz="8" w:space="0" w:color="1F497D"/>
              <w:bottom w:val="single" w:sz="8" w:space="0" w:color="1F497D"/>
              <w:right w:val="dotted" w:sz="8" w:space="0" w:color="1F497D"/>
            </w:tcBorders>
            <w:shd w:val="clear" w:color="auto" w:fill="auto"/>
          </w:tcPr>
          <w:p w:rsidR="00924112" w:rsidRPr="00A82A11" w:rsidRDefault="00924112" w:rsidP="00A82A11">
            <w:pPr>
              <w:pStyle w:val="PBOtext"/>
              <w:spacing w:before="0" w:after="0"/>
              <w:jc w:val="right"/>
              <w:rPr>
                <w:sz w:val="18"/>
                <w:szCs w:val="18"/>
              </w:rPr>
            </w:pPr>
          </w:p>
        </w:tc>
        <w:tc>
          <w:tcPr>
            <w:tcW w:w="1059" w:type="dxa"/>
            <w:tcBorders>
              <w:left w:val="dotted" w:sz="8" w:space="0" w:color="1F497D"/>
              <w:bottom w:val="single" w:sz="8" w:space="0" w:color="1F497D"/>
              <w:right w:val="dotted" w:sz="8" w:space="0" w:color="1F497D"/>
            </w:tcBorders>
            <w:shd w:val="clear" w:color="auto" w:fill="auto"/>
          </w:tcPr>
          <w:p w:rsidR="00924112" w:rsidRPr="00A82A11" w:rsidRDefault="00924112" w:rsidP="00A82A11">
            <w:pPr>
              <w:pStyle w:val="PBOtext"/>
              <w:spacing w:before="0" w:after="0"/>
              <w:jc w:val="right"/>
              <w:rPr>
                <w:sz w:val="18"/>
                <w:szCs w:val="18"/>
              </w:rPr>
            </w:pPr>
          </w:p>
        </w:tc>
        <w:tc>
          <w:tcPr>
            <w:tcW w:w="1059" w:type="dxa"/>
            <w:tcBorders>
              <w:left w:val="dotted" w:sz="8" w:space="0" w:color="1F497D"/>
              <w:bottom w:val="single" w:sz="8" w:space="0" w:color="1F497D"/>
              <w:right w:val="dotted" w:sz="8" w:space="0" w:color="1F497D"/>
            </w:tcBorders>
            <w:shd w:val="clear" w:color="auto" w:fill="auto"/>
          </w:tcPr>
          <w:p w:rsidR="00924112" w:rsidRPr="00A82A11" w:rsidRDefault="00924112" w:rsidP="00A82A11">
            <w:pPr>
              <w:pStyle w:val="PBOtext"/>
              <w:spacing w:before="0" w:after="0"/>
              <w:jc w:val="right"/>
              <w:rPr>
                <w:sz w:val="18"/>
                <w:szCs w:val="18"/>
              </w:rPr>
            </w:pPr>
          </w:p>
        </w:tc>
        <w:tc>
          <w:tcPr>
            <w:tcW w:w="1059" w:type="dxa"/>
            <w:tcBorders>
              <w:left w:val="dotted" w:sz="8" w:space="0" w:color="1F497D"/>
              <w:bottom w:val="single" w:sz="8" w:space="0" w:color="1F497D"/>
              <w:right w:val="dotted" w:sz="8" w:space="0" w:color="1F497D"/>
            </w:tcBorders>
            <w:shd w:val="clear" w:color="auto" w:fill="auto"/>
          </w:tcPr>
          <w:p w:rsidR="00924112" w:rsidRPr="00A82A11" w:rsidRDefault="00924112" w:rsidP="00A82A11">
            <w:pPr>
              <w:pStyle w:val="PBOtext"/>
              <w:spacing w:before="0" w:after="0"/>
              <w:jc w:val="right"/>
              <w:rPr>
                <w:sz w:val="18"/>
                <w:szCs w:val="18"/>
              </w:rPr>
            </w:pPr>
          </w:p>
        </w:tc>
        <w:tc>
          <w:tcPr>
            <w:tcW w:w="1059" w:type="dxa"/>
            <w:tcBorders>
              <w:left w:val="dotted" w:sz="8" w:space="0" w:color="1F497D"/>
              <w:bottom w:val="single" w:sz="8" w:space="0" w:color="1F497D"/>
              <w:right w:val="single" w:sz="8" w:space="0" w:color="1F497D"/>
            </w:tcBorders>
            <w:shd w:val="clear" w:color="auto" w:fill="auto"/>
          </w:tcPr>
          <w:p w:rsidR="00924112" w:rsidRPr="00A82A11" w:rsidRDefault="00924112" w:rsidP="00A82A11">
            <w:pPr>
              <w:pStyle w:val="PBOtext"/>
              <w:spacing w:before="0" w:after="0"/>
              <w:jc w:val="right"/>
              <w:rPr>
                <w:b/>
                <w:sz w:val="18"/>
                <w:szCs w:val="18"/>
              </w:rPr>
            </w:pPr>
          </w:p>
        </w:tc>
      </w:tr>
    </w:tbl>
    <w:p w:rsidR="00B93A00" w:rsidRPr="00D3046C" w:rsidRDefault="00B93A00" w:rsidP="00B93A00">
      <w:pPr>
        <w:pStyle w:val="PBOfiguretableheading"/>
        <w:spacing w:before="0"/>
        <w:rPr>
          <w:b w:val="0"/>
          <w:i w:val="0"/>
          <w:color w:val="auto"/>
          <w:sz w:val="16"/>
          <w:szCs w:val="16"/>
        </w:rPr>
      </w:pPr>
      <w:r w:rsidRPr="00D3046C">
        <w:rPr>
          <w:b w:val="0"/>
          <w:i w:val="0"/>
          <w:color w:val="auto"/>
          <w:sz w:val="16"/>
          <w:szCs w:val="16"/>
        </w:rPr>
        <w:t xml:space="preserve">For the financial impact on the budget balances, a positive number indicates an improvement in the budget </w:t>
      </w:r>
      <w:proofErr w:type="gramStart"/>
      <w:r w:rsidRPr="00D3046C">
        <w:rPr>
          <w:b w:val="0"/>
          <w:i w:val="0"/>
          <w:color w:val="auto"/>
          <w:sz w:val="16"/>
          <w:szCs w:val="16"/>
        </w:rPr>
        <w:t>balance,</w:t>
      </w:r>
      <w:proofErr w:type="gramEnd"/>
      <w:r w:rsidRPr="00D3046C">
        <w:rPr>
          <w:b w:val="0"/>
          <w:i w:val="0"/>
          <w:color w:val="auto"/>
          <w:sz w:val="16"/>
          <w:szCs w:val="16"/>
        </w:rPr>
        <w:t xml:space="preserve"> a negative number indicates a deter</w:t>
      </w:r>
      <w:r w:rsidR="00AF724E">
        <w:rPr>
          <w:b w:val="0"/>
          <w:i w:val="0"/>
          <w:color w:val="auto"/>
          <w:sz w:val="16"/>
          <w:szCs w:val="16"/>
        </w:rPr>
        <w:t>ioration in the budget balance.</w:t>
      </w:r>
      <w:r w:rsidR="000810A4" w:rsidRPr="00D3046C">
        <w:rPr>
          <w:b w:val="0"/>
          <w:i w:val="0"/>
          <w:color w:val="auto"/>
          <w:sz w:val="16"/>
          <w:szCs w:val="16"/>
        </w:rPr>
        <w:br/>
        <w:t>Numbe</w:t>
      </w:r>
      <w:r w:rsidR="00AF724E">
        <w:rPr>
          <w:b w:val="0"/>
          <w:i w:val="0"/>
          <w:color w:val="auto"/>
          <w:sz w:val="16"/>
          <w:szCs w:val="16"/>
        </w:rPr>
        <w:t>rs may not add due to rounding.</w:t>
      </w:r>
    </w:p>
    <w:p w:rsidR="00924112" w:rsidRPr="00B93A00" w:rsidRDefault="00E30DC8" w:rsidP="00E30DC8">
      <w:pPr>
        <w:pStyle w:val="PBOfiguretableheading"/>
        <w:numPr>
          <w:ilvl w:val="0"/>
          <w:numId w:val="23"/>
        </w:numPr>
        <w:spacing w:before="114"/>
        <w:rPr>
          <w:b w:val="0"/>
          <w:i w:val="0"/>
          <w:color w:val="auto"/>
          <w:sz w:val="16"/>
          <w:szCs w:val="16"/>
        </w:rPr>
      </w:pPr>
      <w:r w:rsidRPr="00D3046C">
        <w:rPr>
          <w:b w:val="0"/>
          <w:i w:val="0"/>
          <w:color w:val="auto"/>
          <w:sz w:val="16"/>
          <w:szCs w:val="16"/>
        </w:rPr>
        <w:t>For a complete list of election commitments</w:t>
      </w:r>
      <w:r w:rsidRPr="00B93A00">
        <w:rPr>
          <w:b w:val="0"/>
          <w:i w:val="0"/>
          <w:color w:val="auto"/>
          <w:sz w:val="16"/>
          <w:szCs w:val="16"/>
        </w:rPr>
        <w:t xml:space="preserve"> for each designated Parliamentary party, and their financial impact over the 2013</w:t>
      </w:r>
      <w:r w:rsidR="00AF724E">
        <w:rPr>
          <w:b w:val="0"/>
          <w:i w:val="0"/>
          <w:color w:val="auto"/>
          <w:sz w:val="16"/>
          <w:szCs w:val="16"/>
        </w:rPr>
        <w:t>-</w:t>
      </w:r>
      <w:r w:rsidRPr="00B93A00">
        <w:rPr>
          <w:b w:val="0"/>
          <w:i w:val="0"/>
          <w:color w:val="auto"/>
          <w:sz w:val="16"/>
          <w:szCs w:val="16"/>
        </w:rPr>
        <w:t xml:space="preserve">14 Budget forward estimates period, refer to the following tables: Australian </w:t>
      </w:r>
      <w:proofErr w:type="spellStart"/>
      <w:r w:rsidRPr="00B93A00">
        <w:rPr>
          <w:b w:val="0"/>
          <w:i w:val="0"/>
          <w:color w:val="auto"/>
          <w:sz w:val="16"/>
          <w:szCs w:val="16"/>
        </w:rPr>
        <w:t>Labor</w:t>
      </w:r>
      <w:proofErr w:type="spellEnd"/>
      <w:r w:rsidRPr="00B93A00">
        <w:rPr>
          <w:b w:val="0"/>
          <w:i w:val="0"/>
          <w:color w:val="auto"/>
          <w:sz w:val="16"/>
          <w:szCs w:val="16"/>
        </w:rPr>
        <w:t xml:space="preserve"> Party – table </w:t>
      </w:r>
      <w:r w:rsidR="00C83D94" w:rsidRPr="00B93A00">
        <w:rPr>
          <w:b w:val="0"/>
          <w:i w:val="0"/>
          <w:color w:val="auto"/>
          <w:sz w:val="16"/>
          <w:szCs w:val="16"/>
        </w:rPr>
        <w:t>2</w:t>
      </w:r>
      <w:r w:rsidRPr="00B93A00">
        <w:rPr>
          <w:b w:val="0"/>
          <w:i w:val="0"/>
          <w:color w:val="auto"/>
          <w:sz w:val="16"/>
          <w:szCs w:val="16"/>
        </w:rPr>
        <w:t xml:space="preserve"> on page</w:t>
      </w:r>
      <w:r w:rsidR="00F547BB" w:rsidRPr="00B93A00">
        <w:rPr>
          <w:b w:val="0"/>
          <w:i w:val="0"/>
          <w:color w:val="auto"/>
          <w:sz w:val="16"/>
          <w:szCs w:val="16"/>
        </w:rPr>
        <w:t>s</w:t>
      </w:r>
      <w:r w:rsidRPr="00B93A00">
        <w:rPr>
          <w:b w:val="0"/>
          <w:i w:val="0"/>
          <w:color w:val="auto"/>
          <w:sz w:val="16"/>
          <w:szCs w:val="16"/>
        </w:rPr>
        <w:t xml:space="preserve"> </w:t>
      </w:r>
      <w:r w:rsidR="00C83D94" w:rsidRPr="00B93A00">
        <w:rPr>
          <w:b w:val="0"/>
          <w:i w:val="0"/>
          <w:color w:val="auto"/>
          <w:sz w:val="16"/>
          <w:szCs w:val="16"/>
        </w:rPr>
        <w:t>9</w:t>
      </w:r>
      <w:r w:rsidR="00F547BB" w:rsidRPr="00B93A00">
        <w:rPr>
          <w:b w:val="0"/>
          <w:i w:val="0"/>
          <w:color w:val="auto"/>
          <w:sz w:val="16"/>
          <w:szCs w:val="16"/>
        </w:rPr>
        <w:t>-23</w:t>
      </w:r>
      <w:r w:rsidRPr="00B93A00">
        <w:rPr>
          <w:b w:val="0"/>
          <w:i w:val="0"/>
          <w:color w:val="auto"/>
          <w:sz w:val="16"/>
          <w:szCs w:val="16"/>
        </w:rPr>
        <w:t xml:space="preserve">; Coalition – table </w:t>
      </w:r>
      <w:r w:rsidR="00C83D94" w:rsidRPr="00B93A00">
        <w:rPr>
          <w:b w:val="0"/>
          <w:i w:val="0"/>
          <w:color w:val="auto"/>
          <w:sz w:val="16"/>
          <w:szCs w:val="16"/>
        </w:rPr>
        <w:t>3</w:t>
      </w:r>
      <w:r w:rsidRPr="00B93A00">
        <w:rPr>
          <w:b w:val="0"/>
          <w:i w:val="0"/>
          <w:color w:val="auto"/>
          <w:sz w:val="16"/>
          <w:szCs w:val="16"/>
        </w:rPr>
        <w:t xml:space="preserve"> on page</w:t>
      </w:r>
      <w:r w:rsidR="00F547BB" w:rsidRPr="00B93A00">
        <w:rPr>
          <w:b w:val="0"/>
          <w:i w:val="0"/>
          <w:color w:val="auto"/>
          <w:sz w:val="16"/>
          <w:szCs w:val="16"/>
        </w:rPr>
        <w:t>s</w:t>
      </w:r>
      <w:r w:rsidRPr="00B93A00">
        <w:rPr>
          <w:b w:val="0"/>
          <w:i w:val="0"/>
          <w:color w:val="auto"/>
          <w:sz w:val="16"/>
          <w:szCs w:val="16"/>
        </w:rPr>
        <w:t xml:space="preserve"> </w:t>
      </w:r>
      <w:r w:rsidR="00F547BB" w:rsidRPr="00B93A00">
        <w:rPr>
          <w:b w:val="0"/>
          <w:i w:val="0"/>
          <w:color w:val="auto"/>
          <w:sz w:val="16"/>
          <w:szCs w:val="16"/>
        </w:rPr>
        <w:t>29-4</w:t>
      </w:r>
      <w:r w:rsidR="00AF724E">
        <w:rPr>
          <w:b w:val="0"/>
          <w:i w:val="0"/>
          <w:color w:val="auto"/>
          <w:sz w:val="16"/>
          <w:szCs w:val="16"/>
        </w:rPr>
        <w:t>4</w:t>
      </w:r>
      <w:r w:rsidRPr="00B93A00">
        <w:rPr>
          <w:b w:val="0"/>
          <w:i w:val="0"/>
          <w:color w:val="auto"/>
          <w:sz w:val="16"/>
          <w:szCs w:val="16"/>
        </w:rPr>
        <w:t xml:space="preserve">; and the Australian Greens – table </w:t>
      </w:r>
      <w:r w:rsidR="00C83D94" w:rsidRPr="00B93A00">
        <w:rPr>
          <w:b w:val="0"/>
          <w:i w:val="0"/>
          <w:color w:val="auto"/>
          <w:sz w:val="16"/>
          <w:szCs w:val="16"/>
        </w:rPr>
        <w:t>4</w:t>
      </w:r>
      <w:r w:rsidRPr="00B93A00">
        <w:rPr>
          <w:b w:val="0"/>
          <w:i w:val="0"/>
          <w:color w:val="auto"/>
          <w:sz w:val="16"/>
          <w:szCs w:val="16"/>
        </w:rPr>
        <w:t xml:space="preserve"> on page</w:t>
      </w:r>
      <w:r w:rsidR="00F547BB" w:rsidRPr="00B93A00">
        <w:rPr>
          <w:b w:val="0"/>
          <w:i w:val="0"/>
          <w:color w:val="auto"/>
          <w:sz w:val="16"/>
          <w:szCs w:val="16"/>
        </w:rPr>
        <w:t>s</w:t>
      </w:r>
      <w:r w:rsidRPr="00B93A00">
        <w:rPr>
          <w:b w:val="0"/>
          <w:i w:val="0"/>
          <w:color w:val="auto"/>
          <w:sz w:val="16"/>
          <w:szCs w:val="16"/>
        </w:rPr>
        <w:t xml:space="preserve"> </w:t>
      </w:r>
      <w:r w:rsidR="00D35447" w:rsidRPr="00B93A00">
        <w:rPr>
          <w:b w:val="0"/>
          <w:i w:val="0"/>
          <w:color w:val="auto"/>
          <w:sz w:val="16"/>
          <w:szCs w:val="16"/>
        </w:rPr>
        <w:t>49</w:t>
      </w:r>
      <w:r w:rsidR="00F547BB" w:rsidRPr="00B93A00">
        <w:rPr>
          <w:b w:val="0"/>
          <w:i w:val="0"/>
          <w:color w:val="auto"/>
          <w:sz w:val="16"/>
          <w:szCs w:val="16"/>
        </w:rPr>
        <w:t>-5</w:t>
      </w:r>
      <w:r w:rsidR="00AF724E">
        <w:rPr>
          <w:b w:val="0"/>
          <w:i w:val="0"/>
          <w:color w:val="auto"/>
          <w:sz w:val="16"/>
          <w:szCs w:val="16"/>
        </w:rPr>
        <w:t>5</w:t>
      </w:r>
      <w:r w:rsidR="004E06BF" w:rsidRPr="00B93A00">
        <w:rPr>
          <w:b w:val="0"/>
          <w:i w:val="0"/>
          <w:color w:val="auto"/>
          <w:sz w:val="16"/>
          <w:szCs w:val="16"/>
        </w:rPr>
        <w:t>.</w:t>
      </w:r>
    </w:p>
    <w:p w:rsidR="00924112" w:rsidRDefault="00A53E5C" w:rsidP="00A53E5C">
      <w:pPr>
        <w:pStyle w:val="PBOheading2"/>
      </w:pPr>
      <w:r>
        <w:t xml:space="preserve">Australian </w:t>
      </w:r>
      <w:proofErr w:type="spellStart"/>
      <w:r>
        <w:t>Labor</w:t>
      </w:r>
      <w:proofErr w:type="spellEnd"/>
      <w:r>
        <w:t xml:space="preserve"> Party (ALP)</w:t>
      </w:r>
    </w:p>
    <w:p w:rsidR="0091088C" w:rsidRPr="005353AC" w:rsidRDefault="0091088C" w:rsidP="0091088C">
      <w:pPr>
        <w:pStyle w:val="PBOtext"/>
      </w:pPr>
      <w:r w:rsidRPr="005353AC">
        <w:t xml:space="preserve">The ALP’s total combined election commitments </w:t>
      </w:r>
      <w:r w:rsidR="00B35AA1">
        <w:t xml:space="preserve">are estimated to </w:t>
      </w:r>
      <w:r w:rsidRPr="005353AC">
        <w:t xml:space="preserve">increase the underlying cash balance by </w:t>
      </w:r>
      <w:r w:rsidR="00991369" w:rsidRPr="005353AC">
        <w:t>$</w:t>
      </w:r>
      <w:r w:rsidRPr="005353AC">
        <w:t>9.</w:t>
      </w:r>
      <w:r w:rsidR="00632DCC">
        <w:t>5</w:t>
      </w:r>
      <w:r w:rsidRPr="005353AC">
        <w:t> million over the 2013</w:t>
      </w:r>
      <w:r w:rsidR="00AF724E">
        <w:t>-</w:t>
      </w:r>
      <w:r w:rsidRPr="005353AC">
        <w:t>14 Budget forward estimates period.  This reflects a net decrease in receipts of $2</w:t>
      </w:r>
      <w:r w:rsidR="00991369" w:rsidRPr="005353AC">
        <w:t>02</w:t>
      </w:r>
      <w:r w:rsidRPr="005353AC">
        <w:t>.9 million and a net decrease in payments of $</w:t>
      </w:r>
      <w:r w:rsidR="00991369" w:rsidRPr="005353AC">
        <w:t>212</w:t>
      </w:r>
      <w:r w:rsidRPr="005353AC">
        <w:t>.</w:t>
      </w:r>
      <w:r w:rsidR="00632DCC">
        <w:t>4</w:t>
      </w:r>
      <w:r w:rsidRPr="005353AC">
        <w:t xml:space="preserve"> million.</w:t>
      </w:r>
    </w:p>
    <w:p w:rsidR="0091088C" w:rsidRPr="00D3046C" w:rsidRDefault="0091088C" w:rsidP="0091088C">
      <w:pPr>
        <w:pStyle w:val="PBOtext"/>
      </w:pPr>
      <w:r w:rsidRPr="005353AC">
        <w:t xml:space="preserve">The ALP’s total combined election commitments </w:t>
      </w:r>
      <w:r w:rsidR="00B35AA1">
        <w:t>are estimated to</w:t>
      </w:r>
      <w:r w:rsidRPr="005353AC">
        <w:t xml:space="preserve"> increase the fiscal balance by $</w:t>
      </w:r>
      <w:r w:rsidR="00991369" w:rsidRPr="005353AC">
        <w:t>15.</w:t>
      </w:r>
      <w:r w:rsidR="00632DCC">
        <w:t>4</w:t>
      </w:r>
      <w:r w:rsidRPr="005353AC">
        <w:t> million over the 2013</w:t>
      </w:r>
      <w:r w:rsidR="00AF724E">
        <w:t>-</w:t>
      </w:r>
      <w:r w:rsidRPr="005353AC">
        <w:t>14 Budget forward estimates period.  This reflects a net decrease in revenue of $2</w:t>
      </w:r>
      <w:r w:rsidR="00991369" w:rsidRPr="005353AC">
        <w:t>02</w:t>
      </w:r>
      <w:r w:rsidRPr="005353AC">
        <w:t xml:space="preserve">.9 million </w:t>
      </w:r>
      <w:r w:rsidRPr="00D3046C">
        <w:t>and a net decrease in expenses of $</w:t>
      </w:r>
      <w:r w:rsidR="00991369" w:rsidRPr="00D3046C">
        <w:t>21</w:t>
      </w:r>
      <w:r w:rsidR="00A473DE" w:rsidRPr="00D3046C">
        <w:t>8.</w:t>
      </w:r>
      <w:r w:rsidR="00632DCC" w:rsidRPr="00D3046C">
        <w:t>3</w:t>
      </w:r>
      <w:r w:rsidRPr="00D3046C">
        <w:t xml:space="preserve"> million.</w:t>
      </w:r>
    </w:p>
    <w:p w:rsidR="001466C2" w:rsidRDefault="001466C2" w:rsidP="001466C2">
      <w:pPr>
        <w:pStyle w:val="PBOtext"/>
      </w:pPr>
      <w:r w:rsidRPr="00D3046C">
        <w:t xml:space="preserve">The largest of the ALP election commitments is </w:t>
      </w:r>
      <w:r w:rsidRPr="00D3046C">
        <w:rPr>
          <w:i/>
        </w:rPr>
        <w:t xml:space="preserve">Better Schools: Before and </w:t>
      </w:r>
      <w:proofErr w:type="gramStart"/>
      <w:r w:rsidRPr="00D3046C">
        <w:rPr>
          <w:i/>
        </w:rPr>
        <w:t>After</w:t>
      </w:r>
      <w:proofErr w:type="gramEnd"/>
      <w:r w:rsidRPr="00D3046C">
        <w:t xml:space="preserve">, involving $449.9 million in spending over the forward estimates on funding for schools to expand outside school hours care. </w:t>
      </w:r>
      <w:r w:rsidR="00DB5AC2" w:rsidRPr="00D3046C">
        <w:t xml:space="preserve"> </w:t>
      </w:r>
      <w:r w:rsidRPr="00D3046C">
        <w:t>The next largest ALP election commitment is the</w:t>
      </w:r>
      <w:r w:rsidRPr="00D3046C">
        <w:rPr>
          <w:i/>
        </w:rPr>
        <w:t xml:space="preserve"> South Australian River Murray Sustainability Program</w:t>
      </w:r>
      <w:r w:rsidRPr="00D3046C">
        <w:t>, involving $230.5 million in spending on the River Murray</w:t>
      </w:r>
      <w:r w:rsidRPr="00D3046C">
        <w:rPr>
          <w:i/>
        </w:rPr>
        <w:t xml:space="preserve"> </w:t>
      </w:r>
      <w:r w:rsidRPr="00D3046C">
        <w:t>over the same period. Both of these election commitments have a zero net impact on the budget over the forward estimates as they are fully offset by funding already accounted for at the time of the</w:t>
      </w:r>
      <w:r w:rsidR="00992A9F" w:rsidRPr="00D3046C">
        <w:t xml:space="preserve"> PEFO</w:t>
      </w:r>
      <w:r w:rsidRPr="00D3046C">
        <w:t>.</w:t>
      </w:r>
    </w:p>
    <w:p w:rsidR="003850D6" w:rsidRDefault="003850D6" w:rsidP="003850D6">
      <w:pPr>
        <w:pStyle w:val="PBOtext"/>
      </w:pPr>
      <w:r>
        <w:lastRenderedPageBreak/>
        <w:t xml:space="preserve">A number of the ALP election commitments could result in a significant financial impact beyond the forward estimates.  The ALP election commitment </w:t>
      </w:r>
      <w:r w:rsidRPr="00E64091">
        <w:rPr>
          <w:i/>
        </w:rPr>
        <w:t>New Car Plan for the 2020s</w:t>
      </w:r>
      <w:r>
        <w:t xml:space="preserve"> would result in a significant decrease to the underlying cash balance and fiscal balance beyond the forward estimates.  While having no impact over the forward estimates, this election commitment would increase capped funding under the Automotive Transformation Scheme by $500 million over four years from 2017</w:t>
      </w:r>
      <w:r w:rsidR="00AF724E">
        <w:t>-</w:t>
      </w:r>
      <w:r w:rsidR="008E5518">
        <w:t>18.</w:t>
      </w:r>
    </w:p>
    <w:p w:rsidR="003850D6" w:rsidRDefault="003850D6" w:rsidP="003850D6">
      <w:pPr>
        <w:pStyle w:val="PBOtext"/>
      </w:pPr>
      <w:r>
        <w:t xml:space="preserve">The ALP election commitment </w:t>
      </w:r>
      <w:r w:rsidRPr="00E64091">
        <w:rPr>
          <w:i/>
        </w:rPr>
        <w:t>Establish a High Speed Rail Authority</w:t>
      </w:r>
      <w:r>
        <w:rPr>
          <w:i/>
        </w:rPr>
        <w:t xml:space="preserve"> </w:t>
      </w:r>
      <w:r w:rsidRPr="00E64091">
        <w:t>c</w:t>
      </w:r>
      <w:r>
        <w:t>ould result in significant budget impacts beyond the forward estimates.  This would depend on the final specification of any policy to construct high speed rail o</w:t>
      </w:r>
      <w:r w:rsidR="00334E9B">
        <w:t>n the east coast of Australia.</w:t>
      </w:r>
    </w:p>
    <w:p w:rsidR="00A53E5C" w:rsidRDefault="00A53E5C" w:rsidP="00A53E5C">
      <w:pPr>
        <w:pStyle w:val="PBOheading2"/>
      </w:pPr>
      <w:r>
        <w:t>Coalition</w:t>
      </w:r>
    </w:p>
    <w:p w:rsidR="00A53E5C" w:rsidRPr="003804DA" w:rsidRDefault="00A53E5C" w:rsidP="00A53E5C">
      <w:pPr>
        <w:pStyle w:val="PBOtext"/>
      </w:pPr>
      <w:r>
        <w:t>The Coalition’s total combined election commitments</w:t>
      </w:r>
      <w:r w:rsidR="00B35AA1">
        <w:t xml:space="preserve"> are estimated to</w:t>
      </w:r>
      <w:r>
        <w:t xml:space="preserve"> increase</w:t>
      </w:r>
      <w:r w:rsidR="00C042DA">
        <w:t xml:space="preserve"> </w:t>
      </w:r>
      <w:r>
        <w:t>the underlying cash balance by $</w:t>
      </w:r>
      <w:r w:rsidR="009829F7">
        <w:t>7.</w:t>
      </w:r>
      <w:r w:rsidR="00DD6107">
        <w:t>1</w:t>
      </w:r>
      <w:r w:rsidR="00C042DA">
        <w:t> billion</w:t>
      </w:r>
      <w:r>
        <w:t xml:space="preserve"> over the 2013-14 Budget forward estimates period.  This reflects a net decrease in receipts </w:t>
      </w:r>
      <w:r w:rsidRPr="003804DA">
        <w:t>of $</w:t>
      </w:r>
      <w:r w:rsidR="000E4EC5" w:rsidRPr="003804DA">
        <w:t>7</w:t>
      </w:r>
      <w:r w:rsidRPr="003804DA">
        <w:t>.</w:t>
      </w:r>
      <w:r w:rsidR="00DD6107" w:rsidRPr="003804DA">
        <w:t>7</w:t>
      </w:r>
      <w:r w:rsidR="000E4EC5" w:rsidRPr="003804DA">
        <w:t> billion</w:t>
      </w:r>
      <w:r w:rsidRPr="003804DA">
        <w:t xml:space="preserve"> and a net decrease in payments of $</w:t>
      </w:r>
      <w:r w:rsidR="000E4EC5" w:rsidRPr="003804DA">
        <w:t>1</w:t>
      </w:r>
      <w:r w:rsidR="009829F7" w:rsidRPr="003804DA">
        <w:t>4.9</w:t>
      </w:r>
      <w:r w:rsidR="000E4EC5" w:rsidRPr="003804DA">
        <w:t> billion.</w:t>
      </w:r>
    </w:p>
    <w:p w:rsidR="00A53E5C" w:rsidRPr="003804DA" w:rsidRDefault="00A53E5C" w:rsidP="00A53E5C">
      <w:pPr>
        <w:pStyle w:val="PBOtext"/>
      </w:pPr>
      <w:r w:rsidRPr="003804DA">
        <w:t xml:space="preserve">The Coalition’s total combined election commitments </w:t>
      </w:r>
      <w:r w:rsidR="00B35AA1" w:rsidRPr="003804DA">
        <w:t xml:space="preserve">are estimated to </w:t>
      </w:r>
      <w:r w:rsidRPr="003804DA">
        <w:t>increase the fiscal balance by $</w:t>
      </w:r>
      <w:r w:rsidR="000E4EC5" w:rsidRPr="003804DA">
        <w:t>9</w:t>
      </w:r>
      <w:r w:rsidR="009829F7" w:rsidRPr="003804DA">
        <w:t>.</w:t>
      </w:r>
      <w:r w:rsidR="00DD6107" w:rsidRPr="003804DA">
        <w:t>3</w:t>
      </w:r>
      <w:r w:rsidR="00223CCF" w:rsidRPr="003804DA">
        <w:t> billion</w:t>
      </w:r>
      <w:r w:rsidRPr="003804DA">
        <w:t xml:space="preserve"> over the 2013-14 Budget forward estimates period.  This reflects a net decrease in revenue of $</w:t>
      </w:r>
      <w:r w:rsidR="000E4EC5" w:rsidRPr="003804DA">
        <w:t>12</w:t>
      </w:r>
      <w:r w:rsidRPr="003804DA">
        <w:t>.</w:t>
      </w:r>
      <w:r w:rsidR="00DD6107" w:rsidRPr="003804DA">
        <w:t>3</w:t>
      </w:r>
      <w:r w:rsidR="000E4EC5" w:rsidRPr="003804DA">
        <w:t> billion</w:t>
      </w:r>
      <w:r w:rsidRPr="003804DA">
        <w:t xml:space="preserve"> and a net decrease</w:t>
      </w:r>
      <w:r w:rsidR="000E4EC5" w:rsidRPr="003804DA">
        <w:t xml:space="preserve"> </w:t>
      </w:r>
      <w:r w:rsidRPr="003804DA">
        <w:t xml:space="preserve">in expenses </w:t>
      </w:r>
      <w:r w:rsidR="007F127B" w:rsidRPr="003804DA">
        <w:t xml:space="preserve">of </w:t>
      </w:r>
      <w:r w:rsidRPr="003804DA">
        <w:t>$</w:t>
      </w:r>
      <w:r w:rsidR="000E4EC5" w:rsidRPr="003804DA">
        <w:t>2</w:t>
      </w:r>
      <w:r w:rsidR="009829F7" w:rsidRPr="003804DA">
        <w:t>1.6</w:t>
      </w:r>
      <w:r w:rsidR="008E5518">
        <w:t> billion.</w:t>
      </w:r>
    </w:p>
    <w:p w:rsidR="003850D6" w:rsidRPr="003804DA" w:rsidRDefault="004A51D4" w:rsidP="00A53E5C">
      <w:pPr>
        <w:pStyle w:val="PBOtext"/>
      </w:pPr>
      <w:r w:rsidRPr="003804DA">
        <w:t xml:space="preserve">Coalition election commitments with a significant financial impact include the </w:t>
      </w:r>
      <w:r w:rsidR="003850D6" w:rsidRPr="003804DA">
        <w:t xml:space="preserve">removal of the </w:t>
      </w:r>
      <w:r w:rsidR="006E74A4" w:rsidRPr="003804DA">
        <w:t xml:space="preserve">Minerals Resources Rent Tax (MRRT) </w:t>
      </w:r>
      <w:r w:rsidR="003850D6" w:rsidRPr="003804DA">
        <w:t xml:space="preserve">and associated spending measures. </w:t>
      </w:r>
      <w:r w:rsidR="00B355BF" w:rsidRPr="003804DA">
        <w:t xml:space="preserve"> </w:t>
      </w:r>
      <w:r w:rsidR="003850D6" w:rsidRPr="003804DA">
        <w:t xml:space="preserve">While removing the </w:t>
      </w:r>
      <w:r w:rsidR="006E74A4" w:rsidRPr="003804DA">
        <w:t>MRRT</w:t>
      </w:r>
      <w:r w:rsidR="003850D6" w:rsidRPr="003804DA">
        <w:t xml:space="preserve"> </w:t>
      </w:r>
      <w:r w:rsidRPr="003804DA">
        <w:t xml:space="preserve">leads to </w:t>
      </w:r>
      <w:r w:rsidR="002133F9" w:rsidRPr="003804DA">
        <w:t xml:space="preserve">revenue </w:t>
      </w:r>
      <w:r w:rsidRPr="003804DA">
        <w:t xml:space="preserve">forgone of </w:t>
      </w:r>
      <w:r w:rsidR="003850D6" w:rsidRPr="003804DA">
        <w:t xml:space="preserve">$3.5 billion over the forward estimates, this is </w:t>
      </w:r>
      <w:r w:rsidRPr="003804DA">
        <w:t xml:space="preserve">more than </w:t>
      </w:r>
      <w:r w:rsidR="003850D6" w:rsidRPr="003804DA">
        <w:t>offset by abolishing associated spending measures, result</w:t>
      </w:r>
      <w:r w:rsidRPr="003804DA">
        <w:t>ing</w:t>
      </w:r>
      <w:r w:rsidR="003850D6" w:rsidRPr="003804DA">
        <w:t xml:space="preserve"> in a net increase of $13.8 billion to the underlying cash balance and a</w:t>
      </w:r>
      <w:r w:rsidR="002133F9" w:rsidRPr="003804DA">
        <w:t xml:space="preserve"> </w:t>
      </w:r>
      <w:r w:rsidR="003850D6" w:rsidRPr="003804DA">
        <w:t>n</w:t>
      </w:r>
      <w:r w:rsidR="002133F9" w:rsidRPr="003804DA">
        <w:t>et</w:t>
      </w:r>
      <w:r w:rsidR="003850D6" w:rsidRPr="003804DA">
        <w:t xml:space="preserve"> increase of </w:t>
      </w:r>
      <w:r w:rsidRPr="003804DA">
        <w:t>$15.5 </w:t>
      </w:r>
      <w:r w:rsidR="003850D6" w:rsidRPr="003804DA">
        <w:t>billion to the fiscal balance.</w:t>
      </w:r>
    </w:p>
    <w:p w:rsidR="00B355BF" w:rsidRPr="00D3046C" w:rsidRDefault="00B355BF" w:rsidP="00B355BF">
      <w:pPr>
        <w:pStyle w:val="PBOtext"/>
      </w:pPr>
      <w:r w:rsidRPr="003804DA">
        <w:t xml:space="preserve">Other </w:t>
      </w:r>
      <w:r w:rsidR="0006013A" w:rsidRPr="003804DA">
        <w:t xml:space="preserve">major contributions to the </w:t>
      </w:r>
      <w:r w:rsidRPr="003804DA">
        <w:t xml:space="preserve">increases in the underlying cash and fiscal balances include the </w:t>
      </w:r>
      <w:r w:rsidR="00973E17" w:rsidRPr="003804DA">
        <w:t xml:space="preserve">commitment to </w:t>
      </w:r>
      <w:r w:rsidRPr="003804DA">
        <w:t>reduc</w:t>
      </w:r>
      <w:r w:rsidR="00973E17" w:rsidRPr="003804DA">
        <w:t>e</w:t>
      </w:r>
      <w:r w:rsidRPr="003804DA">
        <w:t xml:space="preserve"> the public service headcount by 1</w:t>
      </w:r>
      <w:r w:rsidR="00973E17" w:rsidRPr="003804DA">
        <w:t xml:space="preserve">2,000 through natural attrition, </w:t>
      </w:r>
      <w:r w:rsidRPr="003804DA">
        <w:t xml:space="preserve">and the commitment to </w:t>
      </w:r>
      <w:r w:rsidR="00415D42" w:rsidRPr="003804DA">
        <w:t xml:space="preserve">limit </w:t>
      </w:r>
      <w:r w:rsidRPr="003804DA">
        <w:t>grow</w:t>
      </w:r>
      <w:r w:rsidR="00415D42" w:rsidRPr="003804DA">
        <w:t>th in</w:t>
      </w:r>
      <w:r w:rsidRPr="003804DA">
        <w:t xml:space="preserve"> </w:t>
      </w:r>
      <w:r w:rsidRPr="00D3046C">
        <w:t xml:space="preserve">foreign aid </w:t>
      </w:r>
      <w:r w:rsidR="00973E17" w:rsidRPr="00D3046C">
        <w:t xml:space="preserve">spending in line with inflation, which provide savings over the forward estimates of $5.2 </w:t>
      </w:r>
      <w:r w:rsidR="002804F4" w:rsidRPr="00D3046C">
        <w:t xml:space="preserve">billion </w:t>
      </w:r>
      <w:r w:rsidR="00973E17" w:rsidRPr="00D3046C">
        <w:t>and $4.5 billion</w:t>
      </w:r>
      <w:r w:rsidR="00992A9F" w:rsidRPr="00D3046C">
        <w:t xml:space="preserve"> respectively</w:t>
      </w:r>
      <w:r w:rsidR="00973E17" w:rsidRPr="00D3046C">
        <w:t>.</w:t>
      </w:r>
    </w:p>
    <w:p w:rsidR="0006013A" w:rsidRPr="008E5518" w:rsidRDefault="0006013A" w:rsidP="0006013A">
      <w:pPr>
        <w:pStyle w:val="PBOtext"/>
      </w:pPr>
      <w:r w:rsidRPr="00D3046C">
        <w:t xml:space="preserve">The Coalition’s package of </w:t>
      </w:r>
      <w:r w:rsidRPr="00D3046C">
        <w:rPr>
          <w:i/>
        </w:rPr>
        <w:t>Border Protection Policies</w:t>
      </w:r>
      <w:r w:rsidRPr="00D3046C">
        <w:t xml:space="preserve"> contributes to an increase in the underlying cash and fiscal balances of $985 million over the forward estimates.  This reflects gross savings of $1.4 billion </w:t>
      </w:r>
      <w:r w:rsidR="00100ACB" w:rsidRPr="00D3046C">
        <w:t xml:space="preserve">largely </w:t>
      </w:r>
      <w:r w:rsidRPr="00D3046C">
        <w:t>from lower anticipated arrivals rates, partially offset by costs of $441 million associated with a range of initiatives under the Coalition’s polic</w:t>
      </w:r>
      <w:r w:rsidR="00D3046C">
        <w:t>ies</w:t>
      </w:r>
      <w:r w:rsidRPr="00D3046C">
        <w:t xml:space="preserve"> for </w:t>
      </w:r>
      <w:r w:rsidRPr="00D3046C">
        <w:rPr>
          <w:i/>
        </w:rPr>
        <w:t xml:space="preserve">A Regional deterrence framework to combat people smuggling </w:t>
      </w:r>
      <w:r w:rsidRPr="00D3046C">
        <w:t xml:space="preserve">and </w:t>
      </w:r>
      <w:r w:rsidRPr="00D3046C">
        <w:rPr>
          <w:i/>
        </w:rPr>
        <w:t>Operation Sovereign Borders.</w:t>
      </w:r>
    </w:p>
    <w:p w:rsidR="0006013A" w:rsidRPr="002804F4" w:rsidRDefault="0006013A" w:rsidP="0006013A">
      <w:pPr>
        <w:pStyle w:val="PBOtext"/>
      </w:pPr>
      <w:r w:rsidRPr="00D3046C">
        <w:t xml:space="preserve">The </w:t>
      </w:r>
      <w:r w:rsidRPr="00D3046C">
        <w:rPr>
          <w:i/>
        </w:rPr>
        <w:t>Paid Parental Leave Scheme Package</w:t>
      </w:r>
      <w:r w:rsidRPr="00D3046C">
        <w:t xml:space="preserve"> also contributes to an increase in the underlying cash balance by $805 million and an increase in the fiscal balance</w:t>
      </w:r>
      <w:r w:rsidRPr="002804F4">
        <w:t xml:space="preserve"> by $835 million over the forward estimates.  The gross cost of the package ($9.9 billion on both an underlying cash and fiscal basis over the forward estimates) is largely offset by the 1.5 per cent levy on companies that would help fund this scheme, as well as the savings from the replacement of the previous Government’s scheme and the existing Commonwealth and State public sector schemes.</w:t>
      </w:r>
    </w:p>
    <w:p w:rsidR="00992A9F" w:rsidRDefault="00992A9F" w:rsidP="00992A9F">
      <w:pPr>
        <w:pStyle w:val="PBOtext"/>
      </w:pPr>
      <w:r w:rsidRPr="002804F4">
        <w:t>These increases are substantially offset by Coalition commitments that decrease the underlying cash and fiscal balance</w:t>
      </w:r>
      <w:r w:rsidR="008D153E" w:rsidRPr="002804F4">
        <w:t>s</w:t>
      </w:r>
      <w:r w:rsidRPr="002804F4">
        <w:t xml:space="preserve">, including the removal of the carbon tax. </w:t>
      </w:r>
      <w:r w:rsidR="008D153E" w:rsidRPr="002804F4">
        <w:t xml:space="preserve"> </w:t>
      </w:r>
      <w:r w:rsidR="002133F9" w:rsidRPr="002804F4">
        <w:t>T</w:t>
      </w:r>
      <w:r w:rsidRPr="002804F4">
        <w:t xml:space="preserve">he net budget impact of the removal of the carbon tax package is </w:t>
      </w:r>
      <w:r w:rsidR="002133F9" w:rsidRPr="002804F4">
        <w:t>to de</w:t>
      </w:r>
      <w:r w:rsidR="008D153E" w:rsidRPr="002804F4">
        <w:t xml:space="preserve">crease the underlying cash balance by </w:t>
      </w:r>
      <w:r w:rsidRPr="002804F4">
        <w:t xml:space="preserve">$7.3 billion and </w:t>
      </w:r>
      <w:r w:rsidR="008D153E" w:rsidRPr="002804F4">
        <w:t>the fis</w:t>
      </w:r>
      <w:r w:rsidR="008D153E" w:rsidRPr="002133F9">
        <w:t xml:space="preserve">cal balance by </w:t>
      </w:r>
      <w:r w:rsidRPr="002133F9">
        <w:t xml:space="preserve">$6.1 billion over the forward estimates. </w:t>
      </w:r>
      <w:r w:rsidR="008D153E" w:rsidRPr="002133F9">
        <w:t xml:space="preserve"> </w:t>
      </w:r>
      <w:r w:rsidRPr="002133F9">
        <w:t xml:space="preserve">This difference arises primarily from the different </w:t>
      </w:r>
      <w:r w:rsidR="008D153E" w:rsidRPr="002133F9">
        <w:t xml:space="preserve">cash and accrual accounting </w:t>
      </w:r>
      <w:r w:rsidRPr="002133F9">
        <w:t>treatment</w:t>
      </w:r>
      <w:r w:rsidR="008D153E" w:rsidRPr="002133F9">
        <w:t>s</w:t>
      </w:r>
      <w:r w:rsidRPr="002133F9">
        <w:t xml:space="preserve"> of free carbon permits and of investments made by the Clean Energy Finance Corporation.</w:t>
      </w:r>
    </w:p>
    <w:p w:rsidR="00776B30" w:rsidRPr="00D3046C" w:rsidRDefault="00776B30" w:rsidP="00776B30">
      <w:pPr>
        <w:pStyle w:val="PBOtext"/>
      </w:pPr>
      <w:r>
        <w:lastRenderedPageBreak/>
        <w:t xml:space="preserve">Other significant decreases to the </w:t>
      </w:r>
      <w:r w:rsidRPr="00D3046C">
        <w:t>underlying cash and fiscal balances over the forward estimates come from the reduction of the company tax rate to 28.5 per cent and the net impact of the Coalition’s Infrastructure Package.  These initiatives reduce the underlying cash and fiscal balances by $4.9 billion and $4.7 billion respectively over the forward estimates.</w:t>
      </w:r>
    </w:p>
    <w:p w:rsidR="003850D6" w:rsidRPr="00D3046C" w:rsidRDefault="003850D6" w:rsidP="003850D6">
      <w:pPr>
        <w:pStyle w:val="PBOtext"/>
      </w:pPr>
      <w:r w:rsidRPr="00D3046C">
        <w:t>The Coalition’s total combined election commitments would increase the headline cash balan</w:t>
      </w:r>
      <w:r w:rsidR="00D5130B" w:rsidRPr="00D3046C">
        <w:t>ce by $1</w:t>
      </w:r>
      <w:r w:rsidR="00B35AA1" w:rsidRPr="00D3046C">
        <w:t>5</w:t>
      </w:r>
      <w:r w:rsidR="00FF1EB7" w:rsidRPr="00D3046C">
        <w:t>.</w:t>
      </w:r>
      <w:r w:rsidR="00B35AA1" w:rsidRPr="00D3046C">
        <w:t>1</w:t>
      </w:r>
      <w:r w:rsidRPr="00D3046C">
        <w:t xml:space="preserve"> </w:t>
      </w:r>
      <w:r w:rsidR="00D5130B" w:rsidRPr="00D3046C">
        <w:t>b</w:t>
      </w:r>
      <w:r w:rsidRPr="00D3046C">
        <w:t>illion over the forward estimates</w:t>
      </w:r>
      <w:r w:rsidR="00D5130B" w:rsidRPr="00D3046C">
        <w:t xml:space="preserve">.  </w:t>
      </w:r>
      <w:r w:rsidR="004C6C60" w:rsidRPr="00D3046C">
        <w:t>T</w:t>
      </w:r>
      <w:r w:rsidR="00D5130B" w:rsidRPr="00D3046C">
        <w:t>his represents an increase of $</w:t>
      </w:r>
      <w:r w:rsidR="00FF1EB7" w:rsidRPr="00D3046C">
        <w:t>7.9</w:t>
      </w:r>
      <w:r w:rsidR="00D5130B" w:rsidRPr="00D3046C">
        <w:t> billion</w:t>
      </w:r>
      <w:r w:rsidR="004C6C60" w:rsidRPr="00D3046C">
        <w:t xml:space="preserve"> relative to the underlying cash balance</w:t>
      </w:r>
      <w:r w:rsidR="004E3DFF" w:rsidRPr="00D3046C">
        <w:t xml:space="preserve"> impact</w:t>
      </w:r>
      <w:r w:rsidR="00D5130B" w:rsidRPr="00D3046C">
        <w:t>, which reflects the</w:t>
      </w:r>
      <w:r w:rsidR="002E6E6F" w:rsidRPr="00D3046C">
        <w:t xml:space="preserve"> </w:t>
      </w:r>
      <w:r w:rsidR="004E3DFF" w:rsidRPr="00D3046C">
        <w:t>reduction</w:t>
      </w:r>
      <w:r w:rsidRPr="00D3046C">
        <w:t xml:space="preserve"> </w:t>
      </w:r>
      <w:r w:rsidR="004E3DFF" w:rsidRPr="00D3046C">
        <w:t>i</w:t>
      </w:r>
      <w:r w:rsidRPr="00D3046C">
        <w:t>n loans and equity investments from abolishing the Clean Energy Finance Corporation</w:t>
      </w:r>
      <w:r w:rsidR="00C41733" w:rsidRPr="00D3046C">
        <w:t xml:space="preserve"> of $5.</w:t>
      </w:r>
      <w:r w:rsidR="00FF1EB7" w:rsidRPr="00D3046C">
        <w:t>6</w:t>
      </w:r>
      <w:r w:rsidR="00C41733" w:rsidRPr="00D3046C">
        <w:t> billion</w:t>
      </w:r>
      <w:r w:rsidRPr="00D3046C">
        <w:t xml:space="preserve">, </w:t>
      </w:r>
      <w:r w:rsidR="00C93DB6" w:rsidRPr="00D3046C">
        <w:t>reduced equity investments into NBN</w:t>
      </w:r>
      <w:r w:rsidR="00FF1EB7" w:rsidRPr="00D3046C">
        <w:t> </w:t>
      </w:r>
      <w:r w:rsidR="00C93DB6" w:rsidRPr="00D3046C">
        <w:t>Co</w:t>
      </w:r>
      <w:r w:rsidR="00C41733" w:rsidRPr="00D3046C">
        <w:t xml:space="preserve"> of $4.2 billion, and the loans provided through </w:t>
      </w:r>
      <w:r w:rsidR="00C41733" w:rsidRPr="00D3046C">
        <w:rPr>
          <w:i/>
        </w:rPr>
        <w:t>Better Apprentice Support</w:t>
      </w:r>
      <w:r w:rsidR="00C41733" w:rsidRPr="00D3046C">
        <w:t xml:space="preserve"> which requires additional financing of $1.9 billion</w:t>
      </w:r>
      <w:r w:rsidR="008E5518">
        <w:t>.</w:t>
      </w:r>
    </w:p>
    <w:p w:rsidR="003850D6" w:rsidRPr="00D3046C" w:rsidRDefault="003850D6" w:rsidP="003850D6">
      <w:pPr>
        <w:pStyle w:val="PBOtext"/>
      </w:pPr>
      <w:r w:rsidRPr="00D3046C">
        <w:t xml:space="preserve">In addition, the commitment </w:t>
      </w:r>
      <w:r w:rsidRPr="00D3046C">
        <w:rPr>
          <w:i/>
        </w:rPr>
        <w:t>Fair Indexation of Military Super</w:t>
      </w:r>
      <w:r w:rsidRPr="00D3046C">
        <w:t xml:space="preserve"> would decrease the Commonwealth’s net worth by $4.4 billion by 2016-17. </w:t>
      </w:r>
      <w:r w:rsidR="00973E17" w:rsidRPr="00D3046C">
        <w:t xml:space="preserve"> </w:t>
      </w:r>
      <w:r w:rsidRPr="00D3046C">
        <w:t>This arises from a revaluation of the stock of unfunded future superannuation liabilities.</w:t>
      </w:r>
    </w:p>
    <w:p w:rsidR="00C41733" w:rsidRPr="00D3046C" w:rsidRDefault="00D841D8" w:rsidP="002E6E6F">
      <w:pPr>
        <w:pStyle w:val="PBOtext"/>
      </w:pPr>
      <w:r w:rsidRPr="00D3046C">
        <w:t>The o</w:t>
      </w:r>
      <w:r w:rsidR="00123798" w:rsidRPr="00D3046C">
        <w:t>verall impa</w:t>
      </w:r>
      <w:r w:rsidRPr="00D3046C">
        <w:t>ct of Coalition election commitments beyond 2016-17 will not necessarily re</w:t>
      </w:r>
      <w:r w:rsidR="00123798" w:rsidRPr="00D3046C">
        <w:t>flect their impa</w:t>
      </w:r>
      <w:r w:rsidRPr="00D3046C">
        <w:t xml:space="preserve">ct on the underlying cash and fiscal balances over the forward estimates.  This is the result of some commitments reaching their full </w:t>
      </w:r>
      <w:r w:rsidR="00AD7F67" w:rsidRPr="00D3046C">
        <w:t xml:space="preserve">impact </w:t>
      </w:r>
      <w:r w:rsidRPr="00D3046C">
        <w:t xml:space="preserve">outside the forward estimates and </w:t>
      </w:r>
      <w:r w:rsidR="00123798" w:rsidRPr="00D3046C">
        <w:t>some</w:t>
      </w:r>
      <w:r w:rsidR="00AD7F67" w:rsidRPr="00D3046C">
        <w:t xml:space="preserve"> commitment</w:t>
      </w:r>
      <w:r w:rsidRPr="00D3046C">
        <w:t xml:space="preserve">s that </w:t>
      </w:r>
      <w:r w:rsidR="00AD7F67" w:rsidRPr="00D3046C">
        <w:t xml:space="preserve">are likely to </w:t>
      </w:r>
      <w:r w:rsidRPr="00D3046C">
        <w:t>have a</w:t>
      </w:r>
      <w:r w:rsidR="00992A9F" w:rsidRPr="00D3046C">
        <w:t xml:space="preserve"> </w:t>
      </w:r>
      <w:r w:rsidR="00AD7F67" w:rsidRPr="00D3046C">
        <w:t xml:space="preserve">more limited </w:t>
      </w:r>
      <w:r w:rsidRPr="00D3046C">
        <w:t>impact</w:t>
      </w:r>
      <w:r w:rsidR="00AD7F67" w:rsidRPr="00D3046C">
        <w:t xml:space="preserve"> beyond 2016-17</w:t>
      </w:r>
      <w:r w:rsidR="008E5518">
        <w:t>.</w:t>
      </w:r>
    </w:p>
    <w:p w:rsidR="006E116A" w:rsidRPr="00D3046C" w:rsidRDefault="006E116A" w:rsidP="00566AD8">
      <w:pPr>
        <w:pStyle w:val="PBOtext"/>
      </w:pPr>
      <w:r w:rsidRPr="00D3046C">
        <w:t>The underlying cash balance impact of the commitment to change indexation arrangements for military superannuation</w:t>
      </w:r>
      <w:r w:rsidRPr="00D3046C">
        <w:rPr>
          <w:vertAlign w:val="superscript"/>
        </w:rPr>
        <w:footnoteReference w:id="1"/>
      </w:r>
      <w:r w:rsidRPr="00D3046C">
        <w:t xml:space="preserve"> occurs when (higher) pension payments are made and is significantly larger beyond the forward estimates, increasing from $30 million in 2016</w:t>
      </w:r>
      <w:r w:rsidRPr="00D3046C">
        <w:noBreakHyphen/>
        <w:t>17 to peak at an es</w:t>
      </w:r>
      <w:bookmarkStart w:id="1" w:name="_Ref369252276"/>
      <w:r w:rsidRPr="00D3046C">
        <w:t>timated $460 million in 2046</w:t>
      </w:r>
      <w:r w:rsidRPr="00D3046C">
        <w:noBreakHyphen/>
        <w:t>47</w:t>
      </w:r>
      <w:bookmarkStart w:id="2" w:name="_Ref369533733"/>
      <w:bookmarkEnd w:id="1"/>
      <w:r w:rsidR="0015440C" w:rsidRPr="00D3046C">
        <w:rPr>
          <w:rStyle w:val="FootnoteReference"/>
        </w:rPr>
        <w:footnoteReference w:id="2"/>
      </w:r>
      <w:bookmarkEnd w:id="2"/>
      <w:r w:rsidRPr="00D3046C">
        <w:t xml:space="preserve">.  The fiscal balance impact of this commitment will grow in line with the accruing superannuation entitlements of scheme members, before declining as these members reach retirement.  </w:t>
      </w:r>
      <w:r w:rsidR="00123798" w:rsidRPr="00D3046C">
        <w:t xml:space="preserve">The </w:t>
      </w:r>
      <w:r w:rsidR="00BC7D54" w:rsidRPr="00D3046C">
        <w:t xml:space="preserve">commitment </w:t>
      </w:r>
      <w:r w:rsidR="00123798" w:rsidRPr="00D3046C">
        <w:t>will also continue to reduce the Government’s net worth well beyond the forward estimates peaking at around $7 billion in 2035-36</w:t>
      </w:r>
      <w:r w:rsidR="00BC7D54" w:rsidRPr="00D3046C">
        <w:rPr>
          <w:vertAlign w:val="superscript"/>
        </w:rPr>
        <w:fldChar w:fldCharType="begin"/>
      </w:r>
      <w:r w:rsidR="00BC7D54" w:rsidRPr="00D3046C">
        <w:rPr>
          <w:vertAlign w:val="superscript"/>
        </w:rPr>
        <w:instrText xml:space="preserve"> NOTEREF _Ref369533733 \h  \* MERGEFORMAT </w:instrText>
      </w:r>
      <w:r w:rsidR="00BC7D54" w:rsidRPr="00D3046C">
        <w:rPr>
          <w:vertAlign w:val="superscript"/>
        </w:rPr>
      </w:r>
      <w:r w:rsidR="00BC7D54" w:rsidRPr="00D3046C">
        <w:rPr>
          <w:vertAlign w:val="superscript"/>
        </w:rPr>
        <w:fldChar w:fldCharType="separate"/>
      </w:r>
      <w:r w:rsidR="008838F6" w:rsidRPr="00D3046C">
        <w:rPr>
          <w:vertAlign w:val="superscript"/>
        </w:rPr>
        <w:t>2</w:t>
      </w:r>
      <w:r w:rsidR="00BC7D54" w:rsidRPr="00D3046C">
        <w:rPr>
          <w:vertAlign w:val="superscript"/>
        </w:rPr>
        <w:fldChar w:fldCharType="end"/>
      </w:r>
      <w:r w:rsidR="00123798" w:rsidRPr="00D3046C">
        <w:t>.</w:t>
      </w:r>
    </w:p>
    <w:p w:rsidR="00566AD8" w:rsidRPr="00D3046C" w:rsidRDefault="00566AD8" w:rsidP="00566AD8">
      <w:pPr>
        <w:pStyle w:val="PBOtext"/>
      </w:pPr>
      <w:r w:rsidRPr="00D3046C">
        <w:t>The saving from the proposal to pause the increase in the rate of the Superannuation Guarantee (SG) by two years from 1 July 2014 will continue to grow from $875 million in 2016</w:t>
      </w:r>
      <w:r w:rsidR="00AF724E">
        <w:t>-</w:t>
      </w:r>
      <w:r w:rsidRPr="00D3046C">
        <w:t>17 to peak in 2019</w:t>
      </w:r>
      <w:r w:rsidR="00AF724E">
        <w:t>-</w:t>
      </w:r>
      <w:r w:rsidRPr="00D3046C">
        <w:t>20 at around $1.15 billion, before falling sharply as</w:t>
      </w:r>
      <w:r w:rsidR="00992A9F" w:rsidRPr="00D3046C">
        <w:t xml:space="preserve"> the</w:t>
      </w:r>
      <w:r w:rsidRPr="00D3046C">
        <w:t xml:space="preserve"> SG rate reaches 12</w:t>
      </w:r>
      <w:r w:rsidR="006E74A4" w:rsidRPr="00D3046C">
        <w:t> per cent</w:t>
      </w:r>
      <w:r w:rsidRPr="00D3046C">
        <w:t xml:space="preserve"> in 2021</w:t>
      </w:r>
      <w:r w:rsidRPr="00D3046C">
        <w:noBreakHyphen/>
        <w:t>2</w:t>
      </w:r>
      <w:r w:rsidR="0008410C" w:rsidRPr="00D3046C">
        <w:t>1</w:t>
      </w:r>
      <w:r w:rsidRPr="00D3046C">
        <w:t>2, to be around $80 million per annum from 2023</w:t>
      </w:r>
      <w:r w:rsidR="00AF724E">
        <w:t>-</w:t>
      </w:r>
      <w:r w:rsidRPr="00D3046C">
        <w:t>24.</w:t>
      </w:r>
    </w:p>
    <w:p w:rsidR="00566AD8" w:rsidRPr="00D3046C" w:rsidRDefault="00566AD8" w:rsidP="00566AD8">
      <w:pPr>
        <w:pStyle w:val="PBOtext"/>
        <w:rPr>
          <w:rFonts w:eastAsiaTheme="minorHAnsi"/>
          <w:szCs w:val="24"/>
          <w:lang w:eastAsia="en-US"/>
        </w:rPr>
      </w:pPr>
      <w:r w:rsidRPr="00D3046C">
        <w:rPr>
          <w:rFonts w:eastAsiaTheme="minorHAnsi"/>
          <w:szCs w:val="24"/>
          <w:lang w:eastAsia="en-US"/>
        </w:rPr>
        <w:t>Cutting the company tax rate to 28.5 per cent is estimated to have a mature cost in the order of $3.7 billion in 2018</w:t>
      </w:r>
      <w:r w:rsidRPr="00D3046C">
        <w:rPr>
          <w:rFonts w:eastAsiaTheme="minorHAnsi"/>
          <w:szCs w:val="24"/>
          <w:lang w:eastAsia="en-US"/>
        </w:rPr>
        <w:noBreakHyphen/>
        <w:t>19 ($4.2 billion in 2016</w:t>
      </w:r>
      <w:r w:rsidRPr="00D3046C">
        <w:rPr>
          <w:rFonts w:eastAsiaTheme="minorHAnsi"/>
          <w:szCs w:val="24"/>
          <w:lang w:eastAsia="en-US"/>
        </w:rPr>
        <w:noBreakHyphen/>
        <w:t>17) and the company levy is estimated to have a mature saving in the order of $3.3 billion in 2018</w:t>
      </w:r>
      <w:r w:rsidRPr="00D3046C">
        <w:rPr>
          <w:rFonts w:eastAsiaTheme="minorHAnsi"/>
          <w:szCs w:val="24"/>
          <w:lang w:eastAsia="en-US"/>
        </w:rPr>
        <w:noBreakHyphen/>
        <w:t>19 ($3.7 billion in 2016</w:t>
      </w:r>
      <w:r w:rsidRPr="00D3046C">
        <w:rPr>
          <w:rFonts w:eastAsiaTheme="minorHAnsi"/>
          <w:szCs w:val="24"/>
          <w:lang w:eastAsia="en-US"/>
        </w:rPr>
        <w:noBreakHyphen/>
        <w:t>17), the difference arising due to timing of company tax payments.  The annual estimates for both proposals will grow in line with the underlying growth in the company tax base from 2018</w:t>
      </w:r>
      <w:r w:rsidRPr="00D3046C">
        <w:rPr>
          <w:rFonts w:eastAsiaTheme="minorHAnsi"/>
          <w:szCs w:val="24"/>
          <w:lang w:eastAsia="en-US"/>
        </w:rPr>
        <w:noBreakHyphen/>
        <w:t>19.</w:t>
      </w:r>
    </w:p>
    <w:p w:rsidR="00566AD8" w:rsidRPr="00D3046C" w:rsidRDefault="00566AD8" w:rsidP="00566AD8">
      <w:pPr>
        <w:pStyle w:val="PBOtext"/>
      </w:pPr>
      <w:r w:rsidRPr="00D3046C">
        <w:t>The proposed abolition of the carbon pricing mechanism and the MRRT will continue to result in reduced revenue beyond the forward estimates</w:t>
      </w:r>
      <w:r w:rsidR="00662636" w:rsidRPr="00D3046C">
        <w:t>, although</w:t>
      </w:r>
      <w:r w:rsidRPr="00D3046C">
        <w:t xml:space="preserve"> these taxes are likely to be highly volatile </w:t>
      </w:r>
      <w:r w:rsidR="002C6405" w:rsidRPr="00D3046C">
        <w:t xml:space="preserve">and </w:t>
      </w:r>
      <w:r w:rsidRPr="00D3046C">
        <w:t xml:space="preserve">the amount of revenue forgone </w:t>
      </w:r>
      <w:r w:rsidR="008E5518">
        <w:t>is very difficult to estimate.</w:t>
      </w:r>
    </w:p>
    <w:p w:rsidR="00A53E5C" w:rsidRPr="00D3046C" w:rsidRDefault="00A53E5C" w:rsidP="00A53E5C">
      <w:pPr>
        <w:pStyle w:val="PBOheading2"/>
      </w:pPr>
      <w:r w:rsidRPr="00D3046C">
        <w:lastRenderedPageBreak/>
        <w:t>Australian Greens</w:t>
      </w:r>
    </w:p>
    <w:p w:rsidR="00751A1A" w:rsidRPr="00D3046C" w:rsidRDefault="00751A1A" w:rsidP="00751A1A">
      <w:pPr>
        <w:pStyle w:val="PBOtext"/>
      </w:pPr>
      <w:r w:rsidRPr="00D3046C">
        <w:t xml:space="preserve">The </w:t>
      </w:r>
      <w:r w:rsidR="00123798" w:rsidRPr="00D3046C">
        <w:t xml:space="preserve">Australian </w:t>
      </w:r>
      <w:r w:rsidRPr="00D3046C">
        <w:t xml:space="preserve">Greens’ total combined election commitments </w:t>
      </w:r>
      <w:r w:rsidR="00123798" w:rsidRPr="00D3046C">
        <w:t xml:space="preserve">are estimated to </w:t>
      </w:r>
      <w:r w:rsidRPr="00D3046C">
        <w:t>increase the underlying cash balance by $</w:t>
      </w:r>
      <w:r w:rsidR="00715B80" w:rsidRPr="00D3046C">
        <w:t>2</w:t>
      </w:r>
      <w:r w:rsidR="006271A4" w:rsidRPr="00D3046C">
        <w:t>.</w:t>
      </w:r>
      <w:r w:rsidR="00631577" w:rsidRPr="00D3046C">
        <w:t>1</w:t>
      </w:r>
      <w:r w:rsidR="00334E9B" w:rsidRPr="00D3046C">
        <w:t> billion over the 2013</w:t>
      </w:r>
      <w:r w:rsidR="00AF724E">
        <w:t>-</w:t>
      </w:r>
      <w:r w:rsidRPr="00D3046C">
        <w:t>14 Budget forward estimates period.  This reflects net increase</w:t>
      </w:r>
      <w:r w:rsidR="00631577" w:rsidRPr="00D3046C">
        <w:t>s</w:t>
      </w:r>
      <w:r w:rsidRPr="00D3046C">
        <w:t xml:space="preserve"> in receipts of $</w:t>
      </w:r>
      <w:r w:rsidR="006271A4" w:rsidRPr="00D3046C">
        <w:t>4</w:t>
      </w:r>
      <w:r w:rsidR="00775882" w:rsidRPr="00D3046C">
        <w:t>5</w:t>
      </w:r>
      <w:r w:rsidR="00631577" w:rsidRPr="00D3046C">
        <w:t>.8</w:t>
      </w:r>
      <w:r w:rsidRPr="00D3046C">
        <w:t> billion and payments of $</w:t>
      </w:r>
      <w:r w:rsidR="006271A4" w:rsidRPr="00D3046C">
        <w:t>4</w:t>
      </w:r>
      <w:r w:rsidR="00E15BFC" w:rsidRPr="00D3046C">
        <w:t>3.</w:t>
      </w:r>
      <w:r w:rsidR="00477D0A" w:rsidRPr="00D3046C">
        <w:t>7</w:t>
      </w:r>
      <w:r w:rsidRPr="00D3046C">
        <w:t> billion.</w:t>
      </w:r>
    </w:p>
    <w:p w:rsidR="006271A4" w:rsidRPr="00D3046C" w:rsidRDefault="006271A4" w:rsidP="006271A4">
      <w:pPr>
        <w:pStyle w:val="PBOtext"/>
      </w:pPr>
      <w:r w:rsidRPr="00D3046C">
        <w:t xml:space="preserve">The combined impact of election commitments for the </w:t>
      </w:r>
      <w:r w:rsidR="00C139E0">
        <w:t xml:space="preserve">Australian </w:t>
      </w:r>
      <w:r w:rsidRPr="00D3046C">
        <w:t xml:space="preserve">Greens </w:t>
      </w:r>
      <w:r w:rsidR="00123798" w:rsidRPr="00D3046C">
        <w:t xml:space="preserve">are estimated to </w:t>
      </w:r>
      <w:r w:rsidRPr="00D3046C">
        <w:t>increase the fiscal balance by $</w:t>
      </w:r>
      <w:r w:rsidR="00715B80" w:rsidRPr="00D3046C">
        <w:t>0</w:t>
      </w:r>
      <w:r w:rsidRPr="00D3046C">
        <w:t>.</w:t>
      </w:r>
      <w:r w:rsidR="00631577" w:rsidRPr="00D3046C">
        <w:t>4</w:t>
      </w:r>
      <w:r w:rsidR="00AF724E">
        <w:t> billion over the 2013-</w:t>
      </w:r>
      <w:r w:rsidRPr="00D3046C">
        <w:t>14 Budget forward estimates period</w:t>
      </w:r>
      <w:r w:rsidR="00631577" w:rsidRPr="00D3046C">
        <w:t xml:space="preserve">, </w:t>
      </w:r>
      <w:r w:rsidRPr="00D3046C">
        <w:t>reflect</w:t>
      </w:r>
      <w:r w:rsidR="00631577" w:rsidRPr="00D3046C">
        <w:t>ing</w:t>
      </w:r>
      <w:r w:rsidRPr="00D3046C">
        <w:t xml:space="preserve"> net increase</w:t>
      </w:r>
      <w:r w:rsidR="00631577" w:rsidRPr="00D3046C">
        <w:t>s</w:t>
      </w:r>
      <w:r w:rsidRPr="00D3046C">
        <w:t xml:space="preserve"> in revenue of $4</w:t>
      </w:r>
      <w:r w:rsidR="00775882" w:rsidRPr="00D3046C">
        <w:t>3.8</w:t>
      </w:r>
      <w:r w:rsidRPr="00D3046C">
        <w:t> billion and expenses of $4</w:t>
      </w:r>
      <w:r w:rsidR="00775882" w:rsidRPr="00D3046C">
        <w:t>3.</w:t>
      </w:r>
      <w:r w:rsidR="00477D0A" w:rsidRPr="00D3046C">
        <w:t>4</w:t>
      </w:r>
      <w:r w:rsidR="008E5518">
        <w:t> billion.</w:t>
      </w:r>
    </w:p>
    <w:p w:rsidR="00715B80" w:rsidRPr="00D3046C" w:rsidRDefault="00361694" w:rsidP="00715B80">
      <w:pPr>
        <w:spacing w:after="120" w:line="288" w:lineRule="auto"/>
      </w:pPr>
      <w:r w:rsidRPr="00D3046C">
        <w:t>S</w:t>
      </w:r>
      <w:r w:rsidR="00AD7F67" w:rsidRPr="00D3046C">
        <w:t>ignificant spending commitments are r</w:t>
      </w:r>
      <w:r w:rsidR="00715B80" w:rsidRPr="00D3046C">
        <w:t xml:space="preserve">aising </w:t>
      </w:r>
      <w:proofErr w:type="spellStart"/>
      <w:r w:rsidR="00715B80" w:rsidRPr="00D3046C">
        <w:t>Newstart</w:t>
      </w:r>
      <w:proofErr w:type="spellEnd"/>
      <w:r w:rsidR="00715B80" w:rsidRPr="00D3046C">
        <w:t xml:space="preserve"> and payments for single parents, introducing universal dental care, expanding the Paid Parental Leave (PPL) scheme and providing additional childcare assistance</w:t>
      </w:r>
      <w:r w:rsidR="00D3046C">
        <w:t>.  These commitments</w:t>
      </w:r>
      <w:r w:rsidR="00715B80" w:rsidRPr="00D3046C">
        <w:t xml:space="preserve"> would decrease the underlying cash balance by $18.</w:t>
      </w:r>
      <w:r w:rsidR="00631577" w:rsidRPr="00D3046C">
        <w:t>8</w:t>
      </w:r>
      <w:r w:rsidR="00D3046C">
        <w:t> </w:t>
      </w:r>
      <w:r w:rsidR="00715B80" w:rsidRPr="00D3046C">
        <w:t>billion and the fiscal balance by $18.</w:t>
      </w:r>
      <w:r w:rsidR="00631577" w:rsidRPr="00D3046C">
        <w:t>9</w:t>
      </w:r>
      <w:r w:rsidR="00715B80" w:rsidRPr="00D3046C">
        <w:t xml:space="preserve"> billi</w:t>
      </w:r>
      <w:r w:rsidR="008E5518">
        <w:t>on over the forward estimates.</w:t>
      </w:r>
    </w:p>
    <w:p w:rsidR="00715B80" w:rsidRPr="00D3046C" w:rsidRDefault="00715B80" w:rsidP="00715B80">
      <w:pPr>
        <w:spacing w:after="120" w:line="288" w:lineRule="auto"/>
      </w:pPr>
      <w:r w:rsidRPr="00D3046C">
        <w:t xml:space="preserve">The effect of these commitments is offset by the </w:t>
      </w:r>
      <w:r w:rsidRPr="00D3046C">
        <w:rPr>
          <w:i/>
        </w:rPr>
        <w:t xml:space="preserve">Resourcing a Caring Society </w:t>
      </w:r>
      <w:r w:rsidRPr="00D3046C">
        <w:t xml:space="preserve">package that would increase the underlying cash balance by $40.0 billion and </w:t>
      </w:r>
      <w:r w:rsidR="00E15BFC" w:rsidRPr="00D3046C">
        <w:t xml:space="preserve">the </w:t>
      </w:r>
      <w:r w:rsidRPr="00D3046C">
        <w:t>fiscal balance by $40.</w:t>
      </w:r>
      <w:r w:rsidR="00AD7F67" w:rsidRPr="00D3046C">
        <w:t>3</w:t>
      </w:r>
      <w:r w:rsidRPr="00D3046C">
        <w:t xml:space="preserve"> billion over the forward estimates.  This package includes increasing the </w:t>
      </w:r>
      <w:r w:rsidR="006F6212" w:rsidRPr="00D3046C">
        <w:t>MRRT</w:t>
      </w:r>
      <w:r w:rsidRPr="00D3046C">
        <w:t xml:space="preserve">, introducing a levy on bank assets, increasing taxes on </w:t>
      </w:r>
      <w:r w:rsidR="00CE23B1" w:rsidRPr="00D3046C">
        <w:t xml:space="preserve">personal </w:t>
      </w:r>
      <w:r w:rsidRPr="00D3046C">
        <w:t>incomes over $1 million and aboli</w:t>
      </w:r>
      <w:r w:rsidR="008E5518">
        <w:t>shing fuel and coal subsidies.</w:t>
      </w:r>
    </w:p>
    <w:p w:rsidR="00715B80" w:rsidRPr="00D3046C" w:rsidRDefault="00715B80" w:rsidP="00715B80">
      <w:pPr>
        <w:pStyle w:val="PBOtext"/>
        <w:spacing w:after="120"/>
      </w:pPr>
      <w:r w:rsidRPr="00D3046C">
        <w:t>Relative to the underlying cash balance the total combined election commitments of the Australian Greens would decrease the headline cash balance by $4.3 billion.  The decrease in the headline cash balance is mainly due to the commitment to increase loans and equity investments by the Clean Energy Finance Corporation.  The commitment to introduce zero interest social housing growth bonds also contributes to the decrease in the headline cash balance.</w:t>
      </w:r>
    </w:p>
    <w:p w:rsidR="00DB5AC2" w:rsidRPr="00D3046C" w:rsidRDefault="00123798" w:rsidP="006C36FD">
      <w:pPr>
        <w:pStyle w:val="PBOtext"/>
        <w:spacing w:after="120"/>
      </w:pPr>
      <w:r w:rsidRPr="00D3046C">
        <w:t>The overall impa</w:t>
      </w:r>
      <w:r w:rsidR="002E6E6F" w:rsidRPr="00D3046C">
        <w:t xml:space="preserve">ct of </w:t>
      </w:r>
      <w:r w:rsidRPr="00D3046C">
        <w:t xml:space="preserve">the </w:t>
      </w:r>
      <w:r w:rsidR="002E6E6F" w:rsidRPr="00D3046C">
        <w:t xml:space="preserve">election commitments of the Australian Greens beyond 2016-17 will not necessarily reflect their </w:t>
      </w:r>
      <w:r w:rsidRPr="00D3046C">
        <w:t>impa</w:t>
      </w:r>
      <w:r w:rsidR="002E6E6F" w:rsidRPr="00D3046C">
        <w:t xml:space="preserve">ct on the underlying cash and fiscal balances over the forward estimates.  This is the result of some commitments reaching their full cost outside of the forward estimates and </w:t>
      </w:r>
      <w:r w:rsidRPr="00D3046C">
        <w:t xml:space="preserve">some </w:t>
      </w:r>
      <w:r w:rsidR="00D3046C">
        <w:t xml:space="preserve">commitments </w:t>
      </w:r>
      <w:r w:rsidR="002E6E6F" w:rsidRPr="00D3046C">
        <w:t xml:space="preserve">that </w:t>
      </w:r>
      <w:r w:rsidR="00D3046C">
        <w:t xml:space="preserve">are likely to </w:t>
      </w:r>
      <w:r w:rsidR="002E6E6F" w:rsidRPr="00D3046C">
        <w:t>have a</w:t>
      </w:r>
      <w:r w:rsidR="00D841D8" w:rsidRPr="00D3046C">
        <w:t xml:space="preserve"> </w:t>
      </w:r>
      <w:r w:rsidR="00D3046C">
        <w:t xml:space="preserve">more </w:t>
      </w:r>
      <w:r w:rsidR="00D841D8" w:rsidRPr="00D3046C">
        <w:t>limited</w:t>
      </w:r>
      <w:r w:rsidR="002E6E6F" w:rsidRPr="00D3046C">
        <w:t xml:space="preserve"> impact beyond 2016-17.</w:t>
      </w:r>
    </w:p>
    <w:p w:rsidR="00DB5AC2" w:rsidRPr="00D3046C" w:rsidRDefault="00DB5AC2" w:rsidP="00DB5AC2">
      <w:pPr>
        <w:pStyle w:val="PBOtext"/>
        <w:spacing w:after="120"/>
      </w:pPr>
      <w:r w:rsidRPr="00D3046C">
        <w:t>The commitment to increas</w:t>
      </w:r>
      <w:r w:rsidR="00826382" w:rsidRPr="00D3046C">
        <w:t>e</w:t>
      </w:r>
      <w:r w:rsidRPr="00D3046C">
        <w:t xml:space="preserve"> international aid is estimated to decrease the underlying cash and fiscal balances by $1.9 billion in 2015-16, </w:t>
      </w:r>
      <w:r w:rsidR="00826382" w:rsidRPr="00D3046C">
        <w:t>rising to $4.6 billion in 2020-21 to achieve the international aid target of 0.7 per cent of Gros</w:t>
      </w:r>
      <w:r w:rsidR="008E5518">
        <w:t>s National Income in that year.</w:t>
      </w:r>
    </w:p>
    <w:p w:rsidR="00992A9F" w:rsidRPr="004F534D" w:rsidRDefault="00992A9F" w:rsidP="00992A9F">
      <w:pPr>
        <w:pStyle w:val="PBOtext"/>
        <w:spacing w:after="120"/>
      </w:pPr>
      <w:r w:rsidRPr="00D3046C">
        <w:t>Reversing decisions to move to a floating carbon price from 1 July 2014, would increase the underlying cash balance by $5.2 billion and</w:t>
      </w:r>
      <w:r w:rsidR="00051491" w:rsidRPr="00D3046C">
        <w:t xml:space="preserve"> the</w:t>
      </w:r>
      <w:r w:rsidRPr="00D3046C">
        <w:t xml:space="preserve"> fiscal balance by $3.</w:t>
      </w:r>
      <w:r w:rsidR="00AD7F67" w:rsidRPr="00D3046C">
        <w:t>5</w:t>
      </w:r>
      <w:r w:rsidRPr="00D3046C">
        <w:t xml:space="preserve"> billion over the forward estimates.  No net additional revenue would be expected beyond the forward estimates as the commitment converges with the PEFO position.</w:t>
      </w:r>
    </w:p>
    <w:sectPr w:rsidR="00992A9F" w:rsidRPr="004F534D" w:rsidSect="00EB440D">
      <w:headerReference w:type="even" r:id="rId9"/>
      <w:headerReference w:type="default" r:id="rId10"/>
      <w:footerReference w:type="even" r:id="rId11"/>
      <w:footerReference w:type="default" r:id="rId12"/>
      <w:headerReference w:type="first" r:id="rId13"/>
      <w:footerReference w:type="first" r:id="rId14"/>
      <w:pgSz w:w="11900" w:h="16840"/>
      <w:pgMar w:top="1440" w:right="1797" w:bottom="1440" w:left="1797" w:header="709" w:footer="709" w:gutter="0"/>
      <w:pgNumType w:start="3"/>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4E5B" w:rsidRDefault="00414E5B">
      <w:pPr>
        <w:spacing w:before="0" w:after="0"/>
      </w:pPr>
      <w:r>
        <w:separator/>
      </w:r>
    </w:p>
  </w:endnote>
  <w:endnote w:type="continuationSeparator" w:id="0">
    <w:p w:rsidR="00414E5B" w:rsidRDefault="00414E5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79B5" w:rsidRPr="00C27399" w:rsidRDefault="00F379B5" w:rsidP="009530F3">
    <w:pPr>
      <w:pStyle w:val="Footer"/>
      <w:tabs>
        <w:tab w:val="left" w:pos="851"/>
      </w:tabs>
    </w:pPr>
    <w:r>
      <w:rPr>
        <w:noProof/>
      </w:rPr>
      <mc:AlternateContent>
        <mc:Choice Requires="wps">
          <w:drawing>
            <wp:anchor distT="0" distB="0" distL="114300" distR="114300" simplePos="0" relativeHeight="251673600" behindDoc="0" locked="0" layoutInCell="1" allowOverlap="1" wp14:anchorId="6B86FC16" wp14:editId="3481CB9C">
              <wp:simplePos x="0" y="0"/>
              <wp:positionH relativeFrom="column">
                <wp:posOffset>292735</wp:posOffset>
              </wp:positionH>
              <wp:positionV relativeFrom="paragraph">
                <wp:posOffset>-15875</wp:posOffset>
              </wp:positionV>
              <wp:extent cx="0" cy="355600"/>
              <wp:effectExtent l="0" t="0" r="19050" b="25400"/>
              <wp:wrapNone/>
              <wp:docPr id="1"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5600"/>
                      </a:xfrm>
                      <a:prstGeom prst="line">
                        <a:avLst/>
                      </a:prstGeom>
                      <a:noFill/>
                      <a:ln w="9525">
                        <a:solidFill>
                          <a:srgbClr val="4A7EBB"/>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05pt,-1.25pt" to="23.05pt,2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" strokecolor="#4a7ebb">
              <v:shadow opacity="22938f" offset="0"/>
            </v:line>
          </w:pict>
        </mc:Fallback>
      </mc:AlternateContent>
    </w:r>
    <w:r w:rsidRPr="009530F3">
      <w:fldChar w:fldCharType="begin"/>
    </w:r>
    <w:r w:rsidRPr="009530F3">
      <w:instrText xml:space="preserve">PAGE  </w:instrText>
    </w:r>
    <w:r w:rsidRPr="009530F3">
      <w:fldChar w:fldCharType="separate"/>
    </w:r>
    <w:r w:rsidR="006B4E13">
      <w:rPr>
        <w:noProof/>
      </w:rPr>
      <w:t>4</w:t>
    </w:r>
    <w:r w:rsidRPr="009530F3">
      <w:fldChar w:fldCharType="end"/>
    </w:r>
    <w:r>
      <w:tab/>
    </w:r>
    <w:r w:rsidR="00B4016C">
      <w:t>2013 Post-election report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016C" w:rsidRPr="000A68A9" w:rsidRDefault="000A68A9" w:rsidP="0008410C">
    <w:pPr>
      <w:pStyle w:val="PBOfooter"/>
      <w:spacing w:before="120" w:after="114"/>
      <w:jc w:val="right"/>
      <w:rPr>
        <w:szCs w:val="20"/>
      </w:rPr>
    </w:pPr>
    <w:r>
      <w:rPr>
        <w:lang w:eastAsia="en-AU"/>
      </w:rPr>
      <mc:AlternateContent>
        <mc:Choice Requires="wps">
          <w:drawing>
            <wp:anchor distT="0" distB="0" distL="114300" distR="114300" simplePos="0" relativeHeight="251675648" behindDoc="0" locked="0" layoutInCell="1" allowOverlap="1" wp14:anchorId="1B054C68" wp14:editId="3550E7BB">
              <wp:simplePos x="0" y="0"/>
              <wp:positionH relativeFrom="column">
                <wp:posOffset>4993640</wp:posOffset>
              </wp:positionH>
              <wp:positionV relativeFrom="paragraph">
                <wp:posOffset>1270</wp:posOffset>
              </wp:positionV>
              <wp:extent cx="0" cy="355600"/>
              <wp:effectExtent l="0" t="0" r="19050" b="2540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5600"/>
                      </a:xfrm>
                      <a:prstGeom prst="line">
                        <a:avLst/>
                      </a:prstGeom>
                      <a:noFill/>
                      <a:ln w="9525">
                        <a:solidFill>
                          <a:srgbClr val="4A7EBB"/>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8"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3.2pt,.1pt" to="393.2pt,2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" strokecolor="#4a7ebb">
              <v:shadow opacity="22938f" offset="0"/>
            </v:line>
          </w:pict>
        </mc:Fallback>
      </mc:AlternateContent>
    </w:r>
    <w:r w:rsidR="00334E9B">
      <w:rPr>
        <w:szCs w:val="20"/>
      </w:rPr>
      <w:t>Overview</w:t>
    </w:r>
    <w:r>
      <w:tab/>
    </w:r>
    <w:r>
      <w:fldChar w:fldCharType="begin"/>
    </w:r>
    <w:r>
      <w:instrText xml:space="preserve"> PAGE  \* Arabic  \* MERGEFORMAT </w:instrText>
    </w:r>
    <w:r>
      <w:fldChar w:fldCharType="separate"/>
    </w:r>
    <w:r w:rsidR="006B4E13">
      <w:t>5</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5FD7" w:rsidRPr="007E005D" w:rsidRDefault="00B55FD7" w:rsidP="00B55FD7">
    <w:pPr>
      <w:framePr w:wrap="around" w:vAnchor="text" w:hAnchor="margin" w:xAlign="center" w:y="1"/>
    </w:pPr>
    <w:r w:rsidRPr="007E005D">
      <w:fldChar w:fldCharType="begin"/>
    </w:r>
    <w:r w:rsidRPr="007E005D">
      <w:instrText xml:space="preserve">PAGE  </w:instrText>
    </w:r>
    <w:r w:rsidRPr="007E005D">
      <w:fldChar w:fldCharType="separate"/>
    </w:r>
    <w:r w:rsidR="006B4E13">
      <w:rPr>
        <w:noProof/>
      </w:rPr>
      <w:t>3</w:t>
    </w:r>
    <w:r w:rsidRPr="007E005D">
      <w:fldChar w:fldCharType="end"/>
    </w:r>
  </w:p>
  <w:p w:rsidR="00B55FD7" w:rsidRDefault="00B55F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4E5B" w:rsidRDefault="00414E5B">
      <w:pPr>
        <w:spacing w:before="0" w:after="0"/>
      </w:pPr>
      <w:r>
        <w:separator/>
      </w:r>
    </w:p>
  </w:footnote>
  <w:footnote w:type="continuationSeparator" w:id="0">
    <w:p w:rsidR="00414E5B" w:rsidRDefault="00414E5B">
      <w:pPr>
        <w:spacing w:before="0" w:after="0"/>
      </w:pPr>
      <w:r>
        <w:continuationSeparator/>
      </w:r>
    </w:p>
  </w:footnote>
  <w:footnote w:id="1">
    <w:p w:rsidR="006E116A" w:rsidRPr="00DB4213" w:rsidRDefault="006E116A" w:rsidP="006E116A">
      <w:pPr>
        <w:pStyle w:val="FootnoteText"/>
        <w:rPr>
          <w:sz w:val="16"/>
          <w:szCs w:val="16"/>
        </w:rPr>
      </w:pPr>
      <w:r w:rsidRPr="00DB4213">
        <w:rPr>
          <w:rStyle w:val="FootnoteReference"/>
          <w:sz w:val="16"/>
          <w:szCs w:val="16"/>
        </w:rPr>
        <w:footnoteRef/>
      </w:r>
      <w:r w:rsidRPr="00DB4213">
        <w:rPr>
          <w:sz w:val="16"/>
          <w:szCs w:val="16"/>
        </w:rPr>
        <w:t xml:space="preserve"> The proposal is for </w:t>
      </w:r>
      <w:proofErr w:type="gramStart"/>
      <w:r w:rsidRPr="00DB4213">
        <w:rPr>
          <w:sz w:val="16"/>
          <w:szCs w:val="16"/>
        </w:rPr>
        <w:t>pensions</w:t>
      </w:r>
      <w:proofErr w:type="gramEnd"/>
      <w:r w:rsidRPr="00DB4213">
        <w:rPr>
          <w:sz w:val="16"/>
          <w:szCs w:val="16"/>
        </w:rPr>
        <w:t xml:space="preserve"> payable under the Defence Forces Retirement Benefit (DFRB) and Defence Force Retirement and Death Benefits (DFRDB) to be </w:t>
      </w:r>
      <w:r w:rsidR="00AD7F67" w:rsidRPr="00DB4213">
        <w:rPr>
          <w:sz w:val="16"/>
          <w:szCs w:val="16"/>
        </w:rPr>
        <w:t xml:space="preserve">indexed by </w:t>
      </w:r>
      <w:r w:rsidRPr="00DB4213">
        <w:rPr>
          <w:sz w:val="16"/>
          <w:szCs w:val="16"/>
        </w:rPr>
        <w:t>the same indexation method applying to the maximum basic rate of the Age Pension for superannuants aged 55 and over.</w:t>
      </w:r>
    </w:p>
  </w:footnote>
  <w:footnote w:id="2">
    <w:p w:rsidR="0015440C" w:rsidRDefault="0015440C">
      <w:pPr>
        <w:pStyle w:val="FootnoteText"/>
      </w:pPr>
      <w:r w:rsidRPr="00DB4213">
        <w:rPr>
          <w:rStyle w:val="FootnoteReference"/>
          <w:sz w:val="16"/>
          <w:szCs w:val="16"/>
        </w:rPr>
        <w:footnoteRef/>
      </w:r>
      <w:r w:rsidRPr="00DB4213">
        <w:rPr>
          <w:sz w:val="16"/>
          <w:szCs w:val="16"/>
        </w:rPr>
        <w:t xml:space="preserve"> </w:t>
      </w:r>
      <w:r w:rsidR="00D71A62" w:rsidRPr="00DB4213">
        <w:rPr>
          <w:sz w:val="16"/>
          <w:szCs w:val="16"/>
        </w:rPr>
        <w:t>Considerable uncertainty is attached to long-term projections and should therefore</w:t>
      </w:r>
      <w:r w:rsidRPr="00DB4213">
        <w:rPr>
          <w:sz w:val="16"/>
          <w:szCs w:val="16"/>
        </w:rPr>
        <w:t xml:space="preserve"> be treated as broadly indicative only</w:t>
      </w:r>
      <w:r w:rsidR="00D71A62" w:rsidRPr="00DB4213">
        <w:rPr>
          <w:sz w:val="16"/>
          <w:szCs w:val="16"/>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5FD7" w:rsidRDefault="00B55FD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5FD7" w:rsidRDefault="00B55FD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5FD7" w:rsidRDefault="00B55FD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FD67B74"/>
    <w:lvl w:ilvl="0">
      <w:start w:val="1"/>
      <w:numFmt w:val="decimal"/>
      <w:lvlText w:val="%1."/>
      <w:lvlJc w:val="left"/>
      <w:pPr>
        <w:tabs>
          <w:tab w:val="num" w:pos="1492"/>
        </w:tabs>
        <w:ind w:left="1492" w:hanging="360"/>
      </w:pPr>
    </w:lvl>
  </w:abstractNum>
  <w:abstractNum w:abstractNumId="1">
    <w:nsid w:val="FFFFFF7D"/>
    <w:multiLevelType w:val="singleLevel"/>
    <w:tmpl w:val="8CC4A652"/>
    <w:lvl w:ilvl="0">
      <w:start w:val="1"/>
      <w:numFmt w:val="decimal"/>
      <w:lvlText w:val="%1."/>
      <w:lvlJc w:val="left"/>
      <w:pPr>
        <w:tabs>
          <w:tab w:val="num" w:pos="1209"/>
        </w:tabs>
        <w:ind w:left="1209" w:hanging="360"/>
      </w:pPr>
    </w:lvl>
  </w:abstractNum>
  <w:abstractNum w:abstractNumId="2">
    <w:nsid w:val="FFFFFF7E"/>
    <w:multiLevelType w:val="singleLevel"/>
    <w:tmpl w:val="3DECDACC"/>
    <w:lvl w:ilvl="0">
      <w:start w:val="1"/>
      <w:numFmt w:val="decimal"/>
      <w:lvlText w:val="%1."/>
      <w:lvlJc w:val="left"/>
      <w:pPr>
        <w:tabs>
          <w:tab w:val="num" w:pos="926"/>
        </w:tabs>
        <w:ind w:left="926" w:hanging="360"/>
      </w:pPr>
    </w:lvl>
  </w:abstractNum>
  <w:abstractNum w:abstractNumId="3">
    <w:nsid w:val="FFFFFF7F"/>
    <w:multiLevelType w:val="singleLevel"/>
    <w:tmpl w:val="BE881CAE"/>
    <w:lvl w:ilvl="0">
      <w:start w:val="1"/>
      <w:numFmt w:val="lowerLetter"/>
      <w:pStyle w:val="ListNumber2"/>
      <w:lvlText w:val="%1."/>
      <w:lvlJc w:val="left"/>
      <w:pPr>
        <w:ind w:left="643" w:hanging="360"/>
      </w:pPr>
    </w:lvl>
  </w:abstractNum>
  <w:abstractNum w:abstractNumId="4">
    <w:nsid w:val="FFFFFF80"/>
    <w:multiLevelType w:val="singleLevel"/>
    <w:tmpl w:val="17C8C52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CDCE0E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31258F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B9A280A"/>
    <w:lvl w:ilvl="0">
      <w:start w:val="1"/>
      <w:numFmt w:val="bullet"/>
      <w:pStyle w:val="ListBullet2"/>
      <w:lvlText w:val=""/>
      <w:lvlJc w:val="left"/>
      <w:pPr>
        <w:ind w:left="644" w:hanging="360"/>
      </w:pPr>
      <w:rPr>
        <w:rFonts w:ascii="Symbol" w:hAnsi="Symbol" w:hint="default"/>
        <w:color w:val="224A76"/>
      </w:rPr>
    </w:lvl>
  </w:abstractNum>
  <w:abstractNum w:abstractNumId="8">
    <w:nsid w:val="FFFFFF88"/>
    <w:multiLevelType w:val="singleLevel"/>
    <w:tmpl w:val="C3320BB0"/>
    <w:lvl w:ilvl="0">
      <w:start w:val="1"/>
      <w:numFmt w:val="decimal"/>
      <w:pStyle w:val="ListNumber"/>
      <w:lvlText w:val="%1."/>
      <w:lvlJc w:val="left"/>
      <w:pPr>
        <w:tabs>
          <w:tab w:val="num" w:pos="360"/>
        </w:tabs>
        <w:ind w:left="360" w:hanging="360"/>
      </w:pPr>
    </w:lvl>
  </w:abstractNum>
  <w:abstractNum w:abstractNumId="9">
    <w:nsid w:val="FFFFFF89"/>
    <w:multiLevelType w:val="singleLevel"/>
    <w:tmpl w:val="DC86C364"/>
    <w:lvl w:ilvl="0">
      <w:start w:val="1"/>
      <w:numFmt w:val="bullet"/>
      <w:pStyle w:val="ListBullet"/>
      <w:lvlText w:val=""/>
      <w:lvlJc w:val="left"/>
      <w:pPr>
        <w:ind w:left="360" w:hanging="360"/>
      </w:pPr>
      <w:rPr>
        <w:rFonts w:ascii="Symbol" w:hAnsi="Symbol" w:hint="default"/>
        <w:color w:val="224A76"/>
      </w:rPr>
    </w:lvl>
  </w:abstractNum>
  <w:abstractNum w:abstractNumId="10">
    <w:nsid w:val="15173C5F"/>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1BFA0899"/>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4260778"/>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24C72FF3"/>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FDA6887"/>
    <w:multiLevelType w:val="hybridMultilevel"/>
    <w:tmpl w:val="40206B18"/>
    <w:lvl w:ilvl="0" w:tplc="66C8907A">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31EC6DB3"/>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5AE6011B"/>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5EF80CA5"/>
    <w:multiLevelType w:val="hybridMultilevel"/>
    <w:tmpl w:val="8BF4783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61AF31F5"/>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6D883C55"/>
    <w:multiLevelType w:val="hybridMultilevel"/>
    <w:tmpl w:val="CE308E32"/>
    <w:lvl w:ilvl="0" w:tplc="4B208E5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73862201"/>
    <w:multiLevelType w:val="hybridMultilevel"/>
    <w:tmpl w:val="B7ACD7C0"/>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
    <w:nsid w:val="79230DF6"/>
    <w:multiLevelType w:val="hybridMultilevel"/>
    <w:tmpl w:val="65E8FF8E"/>
    <w:lvl w:ilvl="0" w:tplc="7AC43AC4">
      <w:start w:val="1"/>
      <w:numFmt w:val="decimal"/>
      <w:lvlText w:val="%1."/>
      <w:lvlJc w:val="left"/>
      <w:pPr>
        <w:ind w:left="360" w:hanging="360"/>
      </w:pPr>
      <w:rPr>
        <w:rFonts w:hint="default"/>
        <w:i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2">
    <w:nsid w:val="79AB5F4B"/>
    <w:multiLevelType w:val="hybridMultilevel"/>
    <w:tmpl w:val="22E4F41C"/>
    <w:lvl w:ilvl="0" w:tplc="66C8907A">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8"/>
  </w:num>
  <w:num w:numId="12">
    <w:abstractNumId w:val="11"/>
  </w:num>
  <w:num w:numId="13">
    <w:abstractNumId w:val="10"/>
  </w:num>
  <w:num w:numId="14">
    <w:abstractNumId w:val="15"/>
  </w:num>
  <w:num w:numId="15">
    <w:abstractNumId w:val="16"/>
  </w:num>
  <w:num w:numId="16">
    <w:abstractNumId w:val="12"/>
  </w:num>
  <w:num w:numId="17">
    <w:abstractNumId w:val="13"/>
  </w:num>
  <w:num w:numId="18">
    <w:abstractNumId w:val="17"/>
  </w:num>
  <w:num w:numId="19">
    <w:abstractNumId w:val="14"/>
  </w:num>
  <w:num w:numId="20">
    <w:abstractNumId w:val="22"/>
  </w:num>
  <w:num w:numId="21">
    <w:abstractNumId w:val="19"/>
  </w:num>
  <w:num w:numId="22">
    <w:abstractNumId w:val="21"/>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4577">
      <o:colormru v:ext="edit" colors="#c6d3e3,#d7dce4"/>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4E5B"/>
    <w:rsid w:val="000162EF"/>
    <w:rsid w:val="000367D3"/>
    <w:rsid w:val="00051491"/>
    <w:rsid w:val="0006013A"/>
    <w:rsid w:val="000810A4"/>
    <w:rsid w:val="0008410C"/>
    <w:rsid w:val="000A4A3B"/>
    <w:rsid w:val="000A68A9"/>
    <w:rsid w:val="000D026C"/>
    <w:rsid w:val="000E4EC5"/>
    <w:rsid w:val="000F2D74"/>
    <w:rsid w:val="000F53DF"/>
    <w:rsid w:val="00100ACB"/>
    <w:rsid w:val="00106CEB"/>
    <w:rsid w:val="00123798"/>
    <w:rsid w:val="00140471"/>
    <w:rsid w:val="00142603"/>
    <w:rsid w:val="001466C2"/>
    <w:rsid w:val="0015440C"/>
    <w:rsid w:val="0016655C"/>
    <w:rsid w:val="00195461"/>
    <w:rsid w:val="001A0174"/>
    <w:rsid w:val="001A409F"/>
    <w:rsid w:val="002133F9"/>
    <w:rsid w:val="002218B7"/>
    <w:rsid w:val="00223CCF"/>
    <w:rsid w:val="00233097"/>
    <w:rsid w:val="00257152"/>
    <w:rsid w:val="002804F4"/>
    <w:rsid w:val="0029149B"/>
    <w:rsid w:val="002C6405"/>
    <w:rsid w:val="002D2904"/>
    <w:rsid w:val="002D7FDF"/>
    <w:rsid w:val="002E224E"/>
    <w:rsid w:val="002E6E6F"/>
    <w:rsid w:val="003070FB"/>
    <w:rsid w:val="00314A5D"/>
    <w:rsid w:val="00334E9B"/>
    <w:rsid w:val="00361694"/>
    <w:rsid w:val="0037632A"/>
    <w:rsid w:val="003804DA"/>
    <w:rsid w:val="00382474"/>
    <w:rsid w:val="003850D6"/>
    <w:rsid w:val="003977E1"/>
    <w:rsid w:val="003C6D9C"/>
    <w:rsid w:val="003D5C5E"/>
    <w:rsid w:val="003F5AFA"/>
    <w:rsid w:val="00414E5B"/>
    <w:rsid w:val="00415D42"/>
    <w:rsid w:val="0046551F"/>
    <w:rsid w:val="00477D0A"/>
    <w:rsid w:val="004809DC"/>
    <w:rsid w:val="00490058"/>
    <w:rsid w:val="004A51D4"/>
    <w:rsid w:val="004C1051"/>
    <w:rsid w:val="004C6C60"/>
    <w:rsid w:val="004E06BF"/>
    <w:rsid w:val="004E3DFF"/>
    <w:rsid w:val="005353AC"/>
    <w:rsid w:val="00556461"/>
    <w:rsid w:val="00566AD8"/>
    <w:rsid w:val="00590721"/>
    <w:rsid w:val="005E3F76"/>
    <w:rsid w:val="005F24F2"/>
    <w:rsid w:val="006271A4"/>
    <w:rsid w:val="00631577"/>
    <w:rsid w:val="00632DCC"/>
    <w:rsid w:val="00662636"/>
    <w:rsid w:val="0069045C"/>
    <w:rsid w:val="006919EC"/>
    <w:rsid w:val="006B4E13"/>
    <w:rsid w:val="006C21C3"/>
    <w:rsid w:val="006C36FD"/>
    <w:rsid w:val="006E116A"/>
    <w:rsid w:val="006E6B2A"/>
    <w:rsid w:val="006E74A4"/>
    <w:rsid w:val="006F6212"/>
    <w:rsid w:val="00715B80"/>
    <w:rsid w:val="00751A1A"/>
    <w:rsid w:val="0075400C"/>
    <w:rsid w:val="00771253"/>
    <w:rsid w:val="00775882"/>
    <w:rsid w:val="00776B30"/>
    <w:rsid w:val="007D7700"/>
    <w:rsid w:val="007F127B"/>
    <w:rsid w:val="008004E7"/>
    <w:rsid w:val="008116F6"/>
    <w:rsid w:val="00826382"/>
    <w:rsid w:val="008442B5"/>
    <w:rsid w:val="0086285C"/>
    <w:rsid w:val="00872117"/>
    <w:rsid w:val="008838F6"/>
    <w:rsid w:val="008A0F88"/>
    <w:rsid w:val="008D153E"/>
    <w:rsid w:val="008E5518"/>
    <w:rsid w:val="008E74C2"/>
    <w:rsid w:val="0091088C"/>
    <w:rsid w:val="00924112"/>
    <w:rsid w:val="009304AD"/>
    <w:rsid w:val="009530F3"/>
    <w:rsid w:val="00964FAF"/>
    <w:rsid w:val="009705E1"/>
    <w:rsid w:val="00973E17"/>
    <w:rsid w:val="009829F7"/>
    <w:rsid w:val="00991369"/>
    <w:rsid w:val="00992A9F"/>
    <w:rsid w:val="009C4DAA"/>
    <w:rsid w:val="009C600F"/>
    <w:rsid w:val="00A138DA"/>
    <w:rsid w:val="00A30853"/>
    <w:rsid w:val="00A42FAF"/>
    <w:rsid w:val="00A473DE"/>
    <w:rsid w:val="00A53E5C"/>
    <w:rsid w:val="00A82A11"/>
    <w:rsid w:val="00AD4DFB"/>
    <w:rsid w:val="00AD7F67"/>
    <w:rsid w:val="00AF3864"/>
    <w:rsid w:val="00AF724E"/>
    <w:rsid w:val="00B04374"/>
    <w:rsid w:val="00B355BF"/>
    <w:rsid w:val="00B35AA1"/>
    <w:rsid w:val="00B4016C"/>
    <w:rsid w:val="00B55FD7"/>
    <w:rsid w:val="00B771B1"/>
    <w:rsid w:val="00B81959"/>
    <w:rsid w:val="00B93A00"/>
    <w:rsid w:val="00BC7D54"/>
    <w:rsid w:val="00BD55A9"/>
    <w:rsid w:val="00C0336B"/>
    <w:rsid w:val="00C042DA"/>
    <w:rsid w:val="00C139E0"/>
    <w:rsid w:val="00C23AEA"/>
    <w:rsid w:val="00C27399"/>
    <w:rsid w:val="00C404BD"/>
    <w:rsid w:val="00C41733"/>
    <w:rsid w:val="00C83D94"/>
    <w:rsid w:val="00C93DB6"/>
    <w:rsid w:val="00C9613F"/>
    <w:rsid w:val="00CD21A6"/>
    <w:rsid w:val="00CD7945"/>
    <w:rsid w:val="00CE23B1"/>
    <w:rsid w:val="00D13718"/>
    <w:rsid w:val="00D252E0"/>
    <w:rsid w:val="00D3046C"/>
    <w:rsid w:val="00D35447"/>
    <w:rsid w:val="00D5130B"/>
    <w:rsid w:val="00D57E42"/>
    <w:rsid w:val="00D67A8A"/>
    <w:rsid w:val="00D71A62"/>
    <w:rsid w:val="00D801EF"/>
    <w:rsid w:val="00D841D8"/>
    <w:rsid w:val="00DB4213"/>
    <w:rsid w:val="00DB5AC2"/>
    <w:rsid w:val="00DB6174"/>
    <w:rsid w:val="00DD6107"/>
    <w:rsid w:val="00E15BFC"/>
    <w:rsid w:val="00E30DC8"/>
    <w:rsid w:val="00E74B13"/>
    <w:rsid w:val="00E976A2"/>
    <w:rsid w:val="00EB440D"/>
    <w:rsid w:val="00F22383"/>
    <w:rsid w:val="00F379B5"/>
    <w:rsid w:val="00F51718"/>
    <w:rsid w:val="00F547BB"/>
    <w:rsid w:val="00FA3888"/>
    <w:rsid w:val="00FC4271"/>
    <w:rsid w:val="00FF1EB7"/>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o:colormru v:ext="edit" colors="#c6d3e3,#d7dce4"/>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mbria" w:hAnsi="Calibri" w:cs="Times New Roman"/>
        <w:lang w:val="en-AU" w:eastAsia="en-AU" w:bidi="ar-SA"/>
      </w:rPr>
    </w:rPrDefault>
    <w:pPrDefault/>
  </w:docDefaults>
  <w:latentStyles w:defLockedState="0" w:defUIPriority="0" w:defSemiHidden="0" w:defUnhideWhenUsed="0" w:defQFormat="0" w:count="267">
    <w:lsdException w:name="Normal" w:qFormat="1"/>
    <w:lsdException w:name="heading 1" w:locked="1" w:qFormat="1"/>
    <w:lsdException w:name="heading 2" w:locked="1" w:semiHidden="1" w:qFormat="1"/>
    <w:lsdException w:name="heading 3" w:locked="1" w:semiHidden="1" w:qFormat="1"/>
    <w:lsdException w:name="heading 4" w:locked="1" w:semiHidden="1" w:qFormat="1"/>
    <w:lsdException w:name="heading 5" w:locked="1" w:semiHidden="1" w:qFormat="1"/>
    <w:lsdException w:name="heading 6" w:locked="1" w:semiHidden="1" w:qFormat="1"/>
    <w:lsdException w:name="heading 7" w:locked="1" w:semiHidden="1" w:qFormat="1"/>
    <w:lsdException w:name="heading 8" w:locked="1" w:semiHidden="1" w:qFormat="1"/>
    <w:lsdException w:name="heading 9" w:locked="1" w:semiHidden="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4"/>
    <w:lsdException w:name="toc 2" w:uiPriority="4"/>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locked="1" w:semiHidden="1" w:unhideWhenUsed="1"/>
    <w:lsdException w:name="footnote text" w:uiPriority="5"/>
    <w:lsdException w:name="annotation text" w:semiHidden="1" w:unhideWhenUsed="1"/>
    <w:lsdException w:name="footer" w:qFormat="1"/>
    <w:lsdException w:name="index heading" w:locked="1" w:semiHidden="1" w:unhideWhenUsed="1"/>
    <w:lsdException w:name="caption" w:semiHidden="1" w:unhideWhenUsed="1" w:qFormat="1"/>
    <w:lsdException w:name="envelope address" w:locked="1" w:semiHidden="1" w:unhideWhenUsed="1"/>
    <w:lsdException w:name="envelope return" w:locked="1" w:semiHidden="1" w:unhideWhenUsed="1"/>
    <w:lsdException w:name="footnote reference" w:uiPriority="5"/>
    <w:lsdException w:name="annotation reference" w:semiHidden="1" w:unhideWhenUsed="1"/>
    <w:lsdException w:name="line number" w:uiPriority="3"/>
    <w:lsdException w:name="page number" w:locked="1" w:qFormat="1"/>
    <w:lsdException w:name="endnote reference" w:semiHidden="1" w:unhideWhenUsed="1"/>
    <w:lsdException w:name="endnote text" w:semiHidden="1" w:unhideWhenUsed="1"/>
    <w:lsdException w:name="table of authorities" w:locked="1"/>
    <w:lsdException w:name="macro" w:locked="1" w:semiHidden="1" w:unhideWhenUsed="1"/>
    <w:lsdException w:name="toa heading" w:locked="1" w:semiHidden="1" w:unhideWhenUsed="1"/>
    <w:lsdException w:name="List" w:uiPriority="3"/>
    <w:lsdException w:name="List 2" w:uiPriority="3"/>
    <w:lsdException w:name="List 3" w:locked="1" w:semiHidden="1" w:unhideWhenUsed="1"/>
    <w:lsdException w:name="List 4" w:locked="1" w:semiHidden="1" w:unhideWhenUsed="1"/>
    <w:lsdException w:name="List 5"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semiHidden="1" w:unhideWhenUsed="1"/>
    <w:lsdException w:name="Signature" w:locked="1" w:semiHidden="1" w:unhideWhenUsed="1"/>
    <w:lsdException w:name="Body Text Indent"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qFormat="1"/>
    <w:lsdException w:name="Salutation" w:locked="1" w:semiHidden="1" w:unhideWhenUsed="1"/>
    <w:lsdException w:name="Date" w:semiHidden="1" w:unhideWhenUsed="1"/>
    <w:lsdException w:name="Body Text First Indent 2" w:semiHidden="1" w:unhideWhenUsed="1"/>
    <w:lsdException w:name="Note Heading" w:locked="1"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3"/>
    <w:lsdException w:name="FollowedHyperlink" w:uiPriority="5"/>
    <w:lsdException w:name="Strong" w:qFormat="1"/>
    <w:lsdException w:name="Emphasis" w:qFormat="1"/>
    <w:lsdException w:name="Document Map" w:semiHidden="1" w:unhideWhenUsed="1"/>
    <w:lsdException w:name="Plain Text" w:locked="1" w:semiHidden="1" w:unhideWhenUsed="1"/>
    <w:lsdException w:name="E-mail Signature" w:semiHidden="1" w:unhideWhenUsed="1"/>
    <w:lsdException w:name="Normal (Web)" w:locked="1"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Table Web 1" w:locked="1"/>
    <w:lsdException w:name="Table Web 2" w:locked="1"/>
    <w:lsdException w:name="Table Web 3" w:locked="1"/>
    <w:lsdException w:name="Balloon Text" w:semiHidden="1" w:unhideWhenUsed="1"/>
    <w:lsdException w:name="Placeholder Text" w:locked="1" w:semiHidden="1" w:unhideWhenUsed="1"/>
    <w:lsdException w:name="No Spacing" w:locked="1" w:semiHidden="1" w:unhideWhenUsed="1" w:qFormat="1"/>
    <w:lsdException w:name="Medium Shading 1" w:locked="1"/>
    <w:lsdException w:name="Medium Shading 2" w:locked="1"/>
    <w:lsdException w:name="Medium List 1" w:locked="1"/>
    <w:lsdException w:name="Medium List 2" w:locked="1"/>
    <w:lsdException w:name="Medium Grid 1" w:locked="1"/>
    <w:lsdException w:name="Medium Grid 2" w:locked="1"/>
    <w:lsdException w:name="Medium Grid 3" w:locked="1"/>
    <w:lsdException w:name="Medium Shading 1 Accent 1" w:locked="1"/>
    <w:lsdException w:name="Medium Shading 2 Accent 1" w:locked="1"/>
    <w:lsdException w:name="Medium List 1 Accent 1" w:locked="1"/>
    <w:lsdException w:name="List Paragraph" w:uiPriority="3" w:qFormat="1"/>
    <w:lsdException w:name="Quote" w:qFormat="1"/>
    <w:lsdException w:name="Intense Quote" w:qFormat="1"/>
    <w:lsdException w:name="Medium List 2 Accent 1" w:locked="1"/>
    <w:lsdException w:name="Medium Grid 1 Accent 1" w:locked="1"/>
    <w:lsdException w:name="Medium Grid 2 Accent 1" w:locked="1"/>
    <w:lsdException w:name="Medium Grid 3 Accent 1" w:locked="1"/>
    <w:lsdException w:name="Medium Shading 1 Accent 2" w:locked="1"/>
    <w:lsdException w:name="Medium Shading 2 Accent 2" w:locked="1"/>
    <w:lsdException w:name="Medium List 1 Accent 2" w:locked="1"/>
    <w:lsdException w:name="Medium List 2 Accent 2" w:locked="1"/>
    <w:lsdException w:name="Medium Grid 1 Accent 2" w:locked="1"/>
    <w:lsdException w:name="Medium Grid 2 Accent 2" w:locked="1"/>
    <w:lsdException w:name="Medium Grid 3 Accent 2" w:locked="1"/>
    <w:lsdException w:name="Medium Shading 1 Accent 3" w:locked="1"/>
    <w:lsdException w:name="Medium Shading 2 Accent 3" w:locked="1"/>
    <w:lsdException w:name="Medium List 1 Accent 3" w:locked="1"/>
    <w:lsdException w:name="Medium List 2 Accent 3" w:locked="1"/>
    <w:lsdException w:name="Medium Grid 1 Accent 3" w:locked="1"/>
    <w:lsdException w:name="Medium Grid 2 Accent 3" w:locked="1"/>
    <w:lsdException w:name="Medium Grid 3 Accent 3" w:locked="1"/>
    <w:lsdException w:name="Medium Shading 1 Accent 4" w:locked="1"/>
    <w:lsdException w:name="Medium Shading 2 Accent 4" w:locked="1"/>
    <w:lsdException w:name="Medium List 1 Accent 4" w:locked="1"/>
    <w:lsdException w:name="Medium List 2 Accent 4" w:locked="1"/>
    <w:lsdException w:name="Medium Grid 1 Accent 4" w:locked="1"/>
    <w:lsdException w:name="Medium Grid 2 Accent 4" w:locked="1"/>
    <w:lsdException w:name="Medium Grid 3 Accent 4" w:locked="1"/>
    <w:lsdException w:name="Medium Shading 1 Accent 5" w:locked="1"/>
    <w:lsdException w:name="Medium Shading 2 Accent 5" w:locked="1"/>
    <w:lsdException w:name="Medium List 1 Accent 5" w:locked="1"/>
    <w:lsdException w:name="Medium List 2 Accent 5" w:locked="1"/>
    <w:lsdException w:name="Medium Grid 1 Accent 5" w:locked="1"/>
    <w:lsdException w:name="Medium Grid 2 Accent 5" w:locked="1"/>
    <w:lsdException w:name="Medium Grid 3 Accent 5" w:locked="1"/>
    <w:lsdException w:name="Medium Shading 1 Accent 6" w:locked="1"/>
    <w:lsdException w:name="Medium Shading 2 Accent 6" w:locked="1"/>
    <w:lsdException w:name="Medium List 1 Accent 6" w:locked="1"/>
    <w:lsdException w:name="Medium List 2 Accent 6" w:locked="1"/>
    <w:lsdException w:name="Medium Grid 1 Accent 6" w:locked="1"/>
    <w:lsdException w:name="Medium Grid 2 Accent 6" w:locked="1"/>
    <w:lsdException w:name="Medium Grid 3 Accent 6" w:locked="1"/>
    <w:lsdException w:name="Subtle Emphasis" w:qFormat="1"/>
    <w:lsdException w:name="Intense Emphasis" w:qFormat="1"/>
    <w:lsdException w:name="Subtle Reference" w:locked="1" w:semiHidden="1" w:unhideWhenUsed="1"/>
    <w:lsdException w:name="Intense Reference" w:locked="1" w:semiHidden="1" w:unhideWhenUsed="1"/>
    <w:lsdException w:name="Book Title" w:semiHidden="1" w:unhideWhenUsed="1" w:qFormat="1"/>
    <w:lsdException w:name="Bibliography" w:semiHidden="1" w:unhideWhenUsed="1"/>
    <w:lsdException w:name="TOC Heading" w:semiHidden="1" w:unhideWhenUsed="1" w:qFormat="1"/>
  </w:latentStyles>
  <w:style w:type="paragraph" w:default="1" w:styleId="Normal">
    <w:name w:val="Normal"/>
    <w:semiHidden/>
    <w:unhideWhenUsed/>
    <w:qFormat/>
    <w:rsid w:val="00142603"/>
    <w:pPr>
      <w:spacing w:before="120" w:after="113"/>
    </w:pPr>
  </w:style>
  <w:style w:type="paragraph" w:styleId="Heading1">
    <w:name w:val="heading 1"/>
    <w:basedOn w:val="Normal"/>
    <w:next w:val="Normal"/>
    <w:link w:val="Heading1Char"/>
    <w:semiHidden/>
    <w:qFormat/>
    <w:locked/>
    <w:rsid w:val="009C4DAA"/>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semiHidden/>
    <w:qFormat/>
    <w:locked/>
    <w:rsid w:val="003F5AF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qFormat/>
    <w:locked/>
    <w:rsid w:val="003F5AF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qFormat/>
    <w:locked/>
    <w:rsid w:val="003F5AF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PBOtables">
    <w:name w:val="PBO tables"/>
    <w:basedOn w:val="TableNormal"/>
    <w:qFormat/>
    <w:rsid w:val="007A74D9"/>
    <w:tblPr>
      <w:tblStyleRowBandSize w:val="1"/>
    </w:tblPr>
    <w:tcPr>
      <w:vAlign w:val="center"/>
    </w:tcPr>
    <w:tblStylePr w:type="firstRow">
      <w:pPr>
        <w:jc w:val="center"/>
      </w:pPr>
      <w:rPr>
        <w:rFonts w:ascii="Symbol" w:hAnsi="Symbol"/>
        <w:b/>
        <w:color w:val="FFFFFF"/>
        <w:sz w:val="19"/>
      </w:rPr>
      <w:tblPr/>
      <w:tcPr>
        <w:tcBorders>
          <w:insideV w:val="nil"/>
        </w:tcBorders>
        <w:shd w:val="clear" w:color="auto" w:fill="264A76"/>
        <w:vAlign w:val="center"/>
      </w:tcPr>
    </w:tblStylePr>
    <w:tblStylePr w:type="firstCol">
      <w:pPr>
        <w:jc w:val="left"/>
      </w:pPr>
      <w:rPr>
        <w:rFonts w:ascii="Symbol" w:hAnsi="Symbol"/>
        <w:b/>
      </w:rPr>
      <w:tblPr/>
      <w:tcPr>
        <w:vAlign w:val="center"/>
      </w:tcPr>
    </w:tblStylePr>
    <w:tblStylePr w:type="band1Horz">
      <w:pPr>
        <w:jc w:val="center"/>
      </w:pPr>
      <w:tblPr/>
      <w:tcPr>
        <w:shd w:val="clear" w:color="auto" w:fill="D7DCE4"/>
        <w:vAlign w:val="center"/>
      </w:tcPr>
    </w:tblStylePr>
    <w:tblStylePr w:type="band2Horz">
      <w:pPr>
        <w:jc w:val="center"/>
      </w:pPr>
      <w:rPr>
        <w:rFonts w:ascii="Symbol" w:hAnsi="Symbol"/>
        <w:sz w:val="20"/>
      </w:rPr>
      <w:tblPr/>
      <w:tcPr>
        <w:shd w:val="clear" w:color="auto" w:fill="FFFFFF"/>
        <w:vAlign w:val="center"/>
      </w:tcPr>
    </w:tblStylePr>
  </w:style>
  <w:style w:type="paragraph" w:customStyle="1" w:styleId="PBOtext">
    <w:name w:val="PBO text"/>
    <w:basedOn w:val="Normal"/>
    <w:qFormat/>
    <w:rsid w:val="00872117"/>
    <w:pPr>
      <w:spacing w:line="288" w:lineRule="auto"/>
    </w:pPr>
  </w:style>
  <w:style w:type="paragraph" w:customStyle="1" w:styleId="PBObullet">
    <w:name w:val="PBO bullet"/>
    <w:basedOn w:val="PBOtext"/>
    <w:qFormat/>
    <w:rsid w:val="00207C1F"/>
    <w:pPr>
      <w:ind w:left="284" w:hanging="284"/>
    </w:pPr>
  </w:style>
  <w:style w:type="paragraph" w:customStyle="1" w:styleId="PBOheading1">
    <w:name w:val="PBO heading 1"/>
    <w:basedOn w:val="Heading1"/>
    <w:uiPriority w:val="1"/>
    <w:qFormat/>
    <w:rsid w:val="003F5AFA"/>
    <w:pPr>
      <w:spacing w:before="680" w:after="480"/>
    </w:pPr>
    <w:rPr>
      <w:rFonts w:ascii="Georgia" w:hAnsi="Georgia"/>
      <w:b w:val="0"/>
      <w:color w:val="264A76"/>
      <w:sz w:val="36"/>
      <w:szCs w:val="24"/>
      <w:lang w:eastAsia="en-US"/>
    </w:rPr>
  </w:style>
  <w:style w:type="paragraph" w:customStyle="1" w:styleId="PBOheading2">
    <w:name w:val="PBO heading 2"/>
    <w:basedOn w:val="Heading2"/>
    <w:uiPriority w:val="1"/>
    <w:qFormat/>
    <w:rsid w:val="004C1051"/>
    <w:pPr>
      <w:spacing w:before="320" w:after="170" w:line="288" w:lineRule="auto"/>
    </w:pPr>
    <w:rPr>
      <w:rFonts w:ascii="Georgia" w:hAnsi="Georgia"/>
      <w:b w:val="0"/>
      <w:color w:val="264A76"/>
      <w:sz w:val="28"/>
    </w:rPr>
  </w:style>
  <w:style w:type="paragraph" w:customStyle="1" w:styleId="PBOfiguretableheading">
    <w:name w:val="PBO figure/table heading"/>
    <w:uiPriority w:val="2"/>
    <w:qFormat/>
    <w:rsid w:val="00B206A8"/>
    <w:pPr>
      <w:spacing w:before="200" w:after="113" w:line="288" w:lineRule="auto"/>
    </w:pPr>
    <w:rPr>
      <w:b/>
      <w:i/>
      <w:color w:val="264A76"/>
      <w:szCs w:val="24"/>
      <w:lang w:eastAsia="en-US"/>
    </w:rPr>
  </w:style>
  <w:style w:type="paragraph" w:customStyle="1" w:styleId="PBOheading3">
    <w:name w:val="PBO heading 3"/>
    <w:basedOn w:val="Heading3"/>
    <w:uiPriority w:val="1"/>
    <w:qFormat/>
    <w:rsid w:val="004C1051"/>
    <w:pPr>
      <w:spacing w:after="200"/>
    </w:pPr>
    <w:rPr>
      <w:rFonts w:ascii="Calibri" w:hAnsi="Calibri"/>
      <w:color w:val="auto"/>
      <w:sz w:val="22"/>
      <w:szCs w:val="24"/>
      <w:lang w:eastAsia="en-US"/>
    </w:rPr>
  </w:style>
  <w:style w:type="paragraph" w:styleId="Title">
    <w:name w:val="Title"/>
    <w:basedOn w:val="Normal"/>
    <w:next w:val="Subtitle"/>
    <w:link w:val="TitleChar"/>
    <w:qFormat/>
    <w:rsid w:val="0075400C"/>
    <w:pPr>
      <w:spacing w:before="4300"/>
      <w:jc w:val="right"/>
    </w:pPr>
    <w:rPr>
      <w:rFonts w:ascii="Georgia" w:hAnsi="Georgia"/>
      <w:color w:val="264A76"/>
      <w:sz w:val="50"/>
    </w:rPr>
  </w:style>
  <w:style w:type="character" w:customStyle="1" w:styleId="TitleChar">
    <w:name w:val="Title Char"/>
    <w:link w:val="Title"/>
    <w:rsid w:val="00CD21A6"/>
    <w:rPr>
      <w:rFonts w:ascii="Georgia" w:hAnsi="Georgia"/>
      <w:color w:val="264A76"/>
      <w:sz w:val="50"/>
    </w:rPr>
  </w:style>
  <w:style w:type="paragraph" w:styleId="Subtitle">
    <w:name w:val="Subtitle"/>
    <w:basedOn w:val="Normal"/>
    <w:next w:val="Normal"/>
    <w:link w:val="SubtitleChar"/>
    <w:uiPriority w:val="2"/>
    <w:qFormat/>
    <w:rsid w:val="002D2904"/>
    <w:pPr>
      <w:jc w:val="right"/>
    </w:pPr>
    <w:rPr>
      <w:rFonts w:ascii="Georgia" w:hAnsi="Georgia"/>
      <w:color w:val="808080"/>
      <w:sz w:val="50"/>
    </w:rPr>
  </w:style>
  <w:style w:type="character" w:customStyle="1" w:styleId="SubtitleChar">
    <w:name w:val="Subtitle Char"/>
    <w:link w:val="Subtitle"/>
    <w:uiPriority w:val="2"/>
    <w:rsid w:val="009C600F"/>
    <w:rPr>
      <w:rFonts w:ascii="Georgia" w:hAnsi="Georgia"/>
      <w:color w:val="808080"/>
      <w:sz w:val="50"/>
    </w:rPr>
  </w:style>
  <w:style w:type="paragraph" w:styleId="Header">
    <w:name w:val="header"/>
    <w:basedOn w:val="Normal"/>
    <w:link w:val="HeaderChar"/>
    <w:uiPriority w:val="5"/>
    <w:rsid w:val="00CD21A6"/>
    <w:pPr>
      <w:tabs>
        <w:tab w:val="center" w:pos="4513"/>
        <w:tab w:val="right" w:pos="9026"/>
      </w:tabs>
    </w:pPr>
    <w:rPr>
      <w:color w:val="808080"/>
    </w:rPr>
  </w:style>
  <w:style w:type="character" w:customStyle="1" w:styleId="HeaderChar">
    <w:name w:val="Header Char"/>
    <w:link w:val="Header"/>
    <w:uiPriority w:val="5"/>
    <w:rsid w:val="00CD21A6"/>
    <w:rPr>
      <w:color w:val="808080"/>
    </w:rPr>
  </w:style>
  <w:style w:type="paragraph" w:styleId="Footer">
    <w:name w:val="footer"/>
    <w:basedOn w:val="Normal"/>
    <w:link w:val="FooterChar"/>
    <w:uiPriority w:val="5"/>
    <w:qFormat/>
    <w:rsid w:val="008442B5"/>
    <w:rPr>
      <w:b/>
    </w:rPr>
  </w:style>
  <w:style w:type="character" w:customStyle="1" w:styleId="FooterChar">
    <w:name w:val="Footer Char"/>
    <w:link w:val="Footer"/>
    <w:uiPriority w:val="5"/>
    <w:rsid w:val="008442B5"/>
    <w:rPr>
      <w:b/>
    </w:rPr>
  </w:style>
  <w:style w:type="character" w:styleId="PageNumber">
    <w:name w:val="page number"/>
    <w:uiPriority w:val="4"/>
    <w:unhideWhenUsed/>
    <w:qFormat/>
    <w:locked/>
    <w:rsid w:val="009530F3"/>
    <w:rPr>
      <w:rFonts w:ascii="Calibri" w:hAnsi="Calibri"/>
      <w:b/>
      <w:color w:val="224A76"/>
      <w:sz w:val="18"/>
    </w:rPr>
  </w:style>
  <w:style w:type="paragraph" w:customStyle="1" w:styleId="Oddpagefooter">
    <w:name w:val="Odd page footer"/>
    <w:basedOn w:val="Footer"/>
    <w:semiHidden/>
    <w:unhideWhenUsed/>
    <w:qFormat/>
    <w:rsid w:val="00FC4271"/>
    <w:pPr>
      <w:jc w:val="right"/>
    </w:pPr>
  </w:style>
  <w:style w:type="table" w:styleId="TableGrid">
    <w:name w:val="Table Grid"/>
    <w:basedOn w:val="TableNormal"/>
    <w:rsid w:val="009530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BOheading4">
    <w:name w:val="PBO heading 4"/>
    <w:basedOn w:val="Heading4"/>
    <w:next w:val="PBOtext"/>
    <w:uiPriority w:val="1"/>
    <w:qFormat/>
    <w:rsid w:val="004C1051"/>
    <w:rPr>
      <w:rFonts w:ascii="Calibri" w:hAnsi="Calibri"/>
      <w:b w:val="0"/>
      <w:color w:val="auto"/>
      <w:sz w:val="24"/>
    </w:rPr>
  </w:style>
  <w:style w:type="paragraph" w:styleId="Quote">
    <w:name w:val="Quote"/>
    <w:basedOn w:val="Normal"/>
    <w:next w:val="Normal"/>
    <w:link w:val="QuoteChar"/>
    <w:uiPriority w:val="5"/>
    <w:qFormat/>
    <w:rsid w:val="00B771B1"/>
    <w:pPr>
      <w:spacing w:after="120"/>
      <w:ind w:left="720"/>
    </w:pPr>
    <w:rPr>
      <w:i/>
      <w:iCs/>
      <w:color w:val="000000"/>
    </w:rPr>
  </w:style>
  <w:style w:type="character" w:customStyle="1" w:styleId="QuoteChar">
    <w:name w:val="Quote Char"/>
    <w:link w:val="Quote"/>
    <w:uiPriority w:val="5"/>
    <w:rsid w:val="00CD21A6"/>
    <w:rPr>
      <w:i/>
      <w:iCs/>
      <w:color w:val="000000"/>
    </w:rPr>
  </w:style>
  <w:style w:type="character" w:styleId="Strong">
    <w:name w:val="Strong"/>
    <w:uiPriority w:val="2"/>
    <w:qFormat/>
    <w:rsid w:val="00B771B1"/>
    <w:rPr>
      <w:rFonts w:ascii="Calibri" w:hAnsi="Calibri"/>
      <w:b/>
      <w:bCs/>
      <w:sz w:val="20"/>
    </w:rPr>
  </w:style>
  <w:style w:type="paragraph" w:styleId="BodyText">
    <w:name w:val="Body Text"/>
    <w:basedOn w:val="PBOtext"/>
    <w:link w:val="BodyTextChar"/>
    <w:uiPriority w:val="2"/>
    <w:unhideWhenUsed/>
    <w:rsid w:val="00B771B1"/>
    <w:pPr>
      <w:spacing w:after="120"/>
    </w:pPr>
  </w:style>
  <w:style w:type="character" w:customStyle="1" w:styleId="BodyTextChar">
    <w:name w:val="Body Text Char"/>
    <w:basedOn w:val="DefaultParagraphFont"/>
    <w:link w:val="BodyText"/>
    <w:uiPriority w:val="2"/>
    <w:rsid w:val="00CD21A6"/>
  </w:style>
  <w:style w:type="paragraph" w:styleId="BodyText2">
    <w:name w:val="Body Text 2"/>
    <w:basedOn w:val="PBOtext"/>
    <w:link w:val="BodyText2Char"/>
    <w:uiPriority w:val="2"/>
    <w:unhideWhenUsed/>
    <w:rsid w:val="00B771B1"/>
    <w:pPr>
      <w:spacing w:after="120" w:line="480" w:lineRule="auto"/>
    </w:pPr>
  </w:style>
  <w:style w:type="character" w:customStyle="1" w:styleId="BodyText2Char">
    <w:name w:val="Body Text 2 Char"/>
    <w:basedOn w:val="DefaultParagraphFont"/>
    <w:link w:val="BodyText2"/>
    <w:uiPriority w:val="2"/>
    <w:rsid w:val="00CD21A6"/>
  </w:style>
  <w:style w:type="paragraph" w:styleId="BodyTextFirstIndent">
    <w:name w:val="Body Text First Indent"/>
    <w:basedOn w:val="BodyText"/>
    <w:link w:val="BodyTextFirstIndentChar"/>
    <w:autoRedefine/>
    <w:uiPriority w:val="2"/>
    <w:unhideWhenUsed/>
    <w:rsid w:val="00B771B1"/>
    <w:pPr>
      <w:spacing w:before="0" w:line="240" w:lineRule="auto"/>
      <w:ind w:firstLine="210"/>
    </w:pPr>
    <w:rPr>
      <w:rFonts w:ascii="Cambria" w:hAnsi="Cambria"/>
      <w:sz w:val="24"/>
    </w:rPr>
  </w:style>
  <w:style w:type="character" w:customStyle="1" w:styleId="BodyTextFirstIndentChar">
    <w:name w:val="Body Text First Indent Char"/>
    <w:link w:val="BodyTextFirstIndent"/>
    <w:uiPriority w:val="2"/>
    <w:rsid w:val="00CD21A6"/>
    <w:rPr>
      <w:rFonts w:ascii="Cambria" w:hAnsi="Cambria"/>
      <w:sz w:val="24"/>
    </w:rPr>
  </w:style>
  <w:style w:type="paragraph" w:styleId="Caption">
    <w:name w:val="caption"/>
    <w:basedOn w:val="Normal"/>
    <w:next w:val="Normal"/>
    <w:uiPriority w:val="5"/>
    <w:qFormat/>
    <w:rsid w:val="00872117"/>
    <w:rPr>
      <w:rFonts w:ascii="Cambria" w:hAnsi="Cambria"/>
      <w:b/>
      <w:bCs/>
      <w:color w:val="224A76"/>
    </w:rPr>
  </w:style>
  <w:style w:type="character" w:styleId="Emphasis">
    <w:name w:val="Emphasis"/>
    <w:uiPriority w:val="2"/>
    <w:qFormat/>
    <w:rsid w:val="00B771B1"/>
    <w:rPr>
      <w:i/>
      <w:iCs/>
    </w:rPr>
  </w:style>
  <w:style w:type="character" w:styleId="SubtleEmphasis">
    <w:name w:val="Subtle Emphasis"/>
    <w:uiPriority w:val="2"/>
    <w:qFormat/>
    <w:rsid w:val="009C4DAA"/>
    <w:rPr>
      <w:i/>
      <w:iCs/>
      <w:color w:val="808080"/>
    </w:rPr>
  </w:style>
  <w:style w:type="paragraph" w:styleId="TableofFigures">
    <w:name w:val="table of figures"/>
    <w:basedOn w:val="Normal"/>
    <w:next w:val="Normal"/>
    <w:uiPriority w:val="2"/>
    <w:unhideWhenUsed/>
    <w:rsid w:val="009C4DAA"/>
  </w:style>
  <w:style w:type="paragraph" w:styleId="TableofAuthorities">
    <w:name w:val="table of authorities"/>
    <w:basedOn w:val="Normal"/>
    <w:next w:val="Normal"/>
    <w:semiHidden/>
    <w:locked/>
    <w:rsid w:val="009C4DAA"/>
    <w:pPr>
      <w:ind w:left="240" w:hanging="240"/>
    </w:pPr>
  </w:style>
  <w:style w:type="character" w:customStyle="1" w:styleId="Heading1Char">
    <w:name w:val="Heading 1 Char"/>
    <w:link w:val="Heading1"/>
    <w:semiHidden/>
    <w:rsid w:val="00CD21A6"/>
    <w:rPr>
      <w:rFonts w:ascii="Cambria" w:eastAsia="Times New Roman" w:hAnsi="Cambria" w:cs="Times New Roman"/>
      <w:b/>
      <w:bCs/>
      <w:kern w:val="32"/>
      <w:sz w:val="32"/>
      <w:szCs w:val="32"/>
    </w:rPr>
  </w:style>
  <w:style w:type="paragraph" w:styleId="TOCHeading">
    <w:name w:val="TOC Heading"/>
    <w:basedOn w:val="Heading1"/>
    <w:next w:val="Normal"/>
    <w:uiPriority w:val="3"/>
    <w:qFormat/>
    <w:rsid w:val="00382474"/>
    <w:pPr>
      <w:outlineLvl w:val="9"/>
    </w:pPr>
    <w:rPr>
      <w:color w:val="808080"/>
    </w:rPr>
  </w:style>
  <w:style w:type="paragraph" w:styleId="ListBullet">
    <w:name w:val="List Bullet"/>
    <w:basedOn w:val="PBObullet"/>
    <w:uiPriority w:val="3"/>
    <w:rsid w:val="009C4DAA"/>
    <w:pPr>
      <w:numPr>
        <w:numId w:val="1"/>
      </w:numPr>
      <w:contextualSpacing/>
    </w:pPr>
  </w:style>
  <w:style w:type="paragraph" w:styleId="ListBullet2">
    <w:name w:val="List Bullet 2"/>
    <w:basedOn w:val="ListBullet"/>
    <w:uiPriority w:val="3"/>
    <w:rsid w:val="009C4DAA"/>
    <w:pPr>
      <w:numPr>
        <w:numId w:val="2"/>
      </w:numPr>
    </w:pPr>
  </w:style>
  <w:style w:type="paragraph" w:styleId="ListContinue">
    <w:name w:val="List Continue"/>
    <w:basedOn w:val="PBOtext"/>
    <w:uiPriority w:val="3"/>
    <w:rsid w:val="009C4DAA"/>
    <w:pPr>
      <w:spacing w:after="120"/>
      <w:ind w:left="283"/>
      <w:contextualSpacing/>
    </w:pPr>
  </w:style>
  <w:style w:type="paragraph" w:styleId="ListContinue2">
    <w:name w:val="List Continue 2"/>
    <w:basedOn w:val="PBOtext"/>
    <w:uiPriority w:val="3"/>
    <w:rsid w:val="009C4DAA"/>
    <w:pPr>
      <w:spacing w:after="120"/>
      <w:ind w:left="566"/>
      <w:contextualSpacing/>
    </w:pPr>
  </w:style>
  <w:style w:type="paragraph" w:styleId="ListNumber">
    <w:name w:val="List Number"/>
    <w:basedOn w:val="PBOtext"/>
    <w:uiPriority w:val="3"/>
    <w:rsid w:val="009C4DAA"/>
    <w:pPr>
      <w:numPr>
        <w:numId w:val="6"/>
      </w:numPr>
      <w:contextualSpacing/>
    </w:pPr>
  </w:style>
  <w:style w:type="paragraph" w:styleId="ListNumber2">
    <w:name w:val="List Number 2"/>
    <w:basedOn w:val="PBOtext"/>
    <w:uiPriority w:val="3"/>
    <w:rsid w:val="009C4DAA"/>
    <w:pPr>
      <w:numPr>
        <w:numId w:val="7"/>
      </w:numPr>
      <w:contextualSpacing/>
    </w:pPr>
  </w:style>
  <w:style w:type="character" w:styleId="IntenseEmphasis">
    <w:name w:val="Intense Emphasis"/>
    <w:uiPriority w:val="5"/>
    <w:qFormat/>
    <w:rsid w:val="00CD21A6"/>
    <w:rPr>
      <w:b/>
      <w:bCs/>
      <w:i/>
      <w:iCs/>
      <w:color w:val="auto"/>
    </w:rPr>
  </w:style>
  <w:style w:type="paragraph" w:styleId="IntenseQuote">
    <w:name w:val="Intense Quote"/>
    <w:basedOn w:val="Normal"/>
    <w:next w:val="Normal"/>
    <w:link w:val="IntenseQuoteChar"/>
    <w:uiPriority w:val="5"/>
    <w:qFormat/>
    <w:rsid w:val="00CD21A6"/>
    <w:pPr>
      <w:pBdr>
        <w:bottom w:val="single" w:sz="4" w:space="4" w:color="D7DCE4"/>
      </w:pBdr>
      <w:spacing w:before="200" w:after="280"/>
      <w:ind w:left="936" w:right="936"/>
    </w:pPr>
    <w:rPr>
      <w:rFonts w:ascii="Cambria" w:hAnsi="Cambria"/>
      <w:b/>
      <w:bCs/>
      <w:i/>
      <w:iCs/>
      <w:color w:val="224A76"/>
      <w:sz w:val="22"/>
    </w:rPr>
  </w:style>
  <w:style w:type="character" w:customStyle="1" w:styleId="IntenseQuoteChar">
    <w:name w:val="Intense Quote Char"/>
    <w:link w:val="IntenseQuote"/>
    <w:uiPriority w:val="5"/>
    <w:rsid w:val="00CD21A6"/>
    <w:rPr>
      <w:rFonts w:ascii="Cambria" w:hAnsi="Cambria"/>
      <w:b/>
      <w:bCs/>
      <w:i/>
      <w:iCs/>
      <w:color w:val="224A76"/>
      <w:sz w:val="22"/>
    </w:rPr>
  </w:style>
  <w:style w:type="paragraph" w:styleId="BalloonText">
    <w:name w:val="Balloon Text"/>
    <w:basedOn w:val="Normal"/>
    <w:link w:val="BalloonTextChar"/>
    <w:semiHidden/>
    <w:unhideWhenUsed/>
    <w:rsid w:val="005F24F2"/>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sid w:val="005F24F2"/>
    <w:rPr>
      <w:rFonts w:ascii="Tahoma" w:hAnsi="Tahoma" w:cs="Tahoma"/>
      <w:sz w:val="16"/>
      <w:szCs w:val="16"/>
    </w:rPr>
  </w:style>
  <w:style w:type="character" w:customStyle="1" w:styleId="Heading2Char">
    <w:name w:val="Heading 2 Char"/>
    <w:basedOn w:val="DefaultParagraphFont"/>
    <w:link w:val="Heading2"/>
    <w:semiHidden/>
    <w:rsid w:val="003F5AF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semiHidden/>
    <w:rsid w:val="003F5AF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semiHidden/>
    <w:rsid w:val="003F5AFA"/>
    <w:rPr>
      <w:rFonts w:asciiTheme="majorHAnsi" w:eastAsiaTheme="majorEastAsia" w:hAnsiTheme="majorHAnsi" w:cstheme="majorBidi"/>
      <w:b/>
      <w:bCs/>
      <w:i/>
      <w:iCs/>
      <w:color w:val="4F81BD" w:themeColor="accent1"/>
    </w:rPr>
  </w:style>
  <w:style w:type="paragraph" w:customStyle="1" w:styleId="PBOfooter">
    <w:name w:val="PBO footer"/>
    <w:basedOn w:val="PBOtext"/>
    <w:qFormat/>
    <w:rsid w:val="000A68A9"/>
    <w:pPr>
      <w:spacing w:before="0" w:after="0"/>
    </w:pPr>
    <w:rPr>
      <w:b/>
      <w:noProof/>
      <w:szCs w:val="24"/>
      <w:lang w:eastAsia="en-US"/>
    </w:rPr>
  </w:style>
  <w:style w:type="paragraph" w:styleId="FootnoteText">
    <w:name w:val="footnote text"/>
    <w:basedOn w:val="Normal"/>
    <w:link w:val="FootnoteTextChar"/>
    <w:uiPriority w:val="5"/>
    <w:rsid w:val="00566AD8"/>
    <w:pPr>
      <w:spacing w:before="0" w:after="0"/>
    </w:pPr>
  </w:style>
  <w:style w:type="character" w:customStyle="1" w:styleId="FootnoteTextChar">
    <w:name w:val="Footnote Text Char"/>
    <w:basedOn w:val="DefaultParagraphFont"/>
    <w:link w:val="FootnoteText"/>
    <w:uiPriority w:val="5"/>
    <w:rsid w:val="00566AD8"/>
  </w:style>
  <w:style w:type="character" w:styleId="FootnoteReference">
    <w:name w:val="footnote reference"/>
    <w:basedOn w:val="DefaultParagraphFont"/>
    <w:uiPriority w:val="5"/>
    <w:rsid w:val="00566AD8"/>
    <w:rPr>
      <w:vertAlign w:val="superscript"/>
    </w:rPr>
  </w:style>
  <w:style w:type="character" w:styleId="Hyperlink">
    <w:name w:val="Hyperlink"/>
    <w:basedOn w:val="DefaultParagraphFont"/>
    <w:uiPriority w:val="3"/>
    <w:rsid w:val="00314A5D"/>
    <w:rPr>
      <w:color w:val="0000FF" w:themeColor="hyperlink"/>
      <w:u w:val="single"/>
    </w:rPr>
  </w:style>
  <w:style w:type="paragraph" w:styleId="EndnoteText">
    <w:name w:val="endnote text"/>
    <w:basedOn w:val="Normal"/>
    <w:link w:val="EndnoteTextChar"/>
    <w:semiHidden/>
    <w:unhideWhenUsed/>
    <w:rsid w:val="00992A9F"/>
    <w:pPr>
      <w:spacing w:before="0" w:after="0"/>
    </w:pPr>
  </w:style>
  <w:style w:type="character" w:customStyle="1" w:styleId="EndnoteTextChar">
    <w:name w:val="Endnote Text Char"/>
    <w:basedOn w:val="DefaultParagraphFont"/>
    <w:link w:val="EndnoteText"/>
    <w:semiHidden/>
    <w:rsid w:val="00992A9F"/>
  </w:style>
  <w:style w:type="character" w:styleId="EndnoteReference">
    <w:name w:val="endnote reference"/>
    <w:basedOn w:val="DefaultParagraphFont"/>
    <w:semiHidden/>
    <w:unhideWhenUsed/>
    <w:rsid w:val="00992A9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mbria" w:hAnsi="Calibri" w:cs="Times New Roman"/>
        <w:lang w:val="en-AU" w:eastAsia="en-AU" w:bidi="ar-SA"/>
      </w:rPr>
    </w:rPrDefault>
    <w:pPrDefault/>
  </w:docDefaults>
  <w:latentStyles w:defLockedState="0" w:defUIPriority="0" w:defSemiHidden="0" w:defUnhideWhenUsed="0" w:defQFormat="0" w:count="267">
    <w:lsdException w:name="Normal" w:qFormat="1"/>
    <w:lsdException w:name="heading 1" w:locked="1" w:qFormat="1"/>
    <w:lsdException w:name="heading 2" w:locked="1" w:semiHidden="1" w:qFormat="1"/>
    <w:lsdException w:name="heading 3" w:locked="1" w:semiHidden="1" w:qFormat="1"/>
    <w:lsdException w:name="heading 4" w:locked="1" w:semiHidden="1" w:qFormat="1"/>
    <w:lsdException w:name="heading 5" w:locked="1" w:semiHidden="1" w:qFormat="1"/>
    <w:lsdException w:name="heading 6" w:locked="1" w:semiHidden="1" w:qFormat="1"/>
    <w:lsdException w:name="heading 7" w:locked="1" w:semiHidden="1" w:qFormat="1"/>
    <w:lsdException w:name="heading 8" w:locked="1" w:semiHidden="1" w:qFormat="1"/>
    <w:lsdException w:name="heading 9" w:locked="1" w:semiHidden="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4"/>
    <w:lsdException w:name="toc 2" w:uiPriority="4"/>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locked="1" w:semiHidden="1" w:unhideWhenUsed="1"/>
    <w:lsdException w:name="footnote text" w:uiPriority="5"/>
    <w:lsdException w:name="annotation text" w:semiHidden="1" w:unhideWhenUsed="1"/>
    <w:lsdException w:name="footer" w:qFormat="1"/>
    <w:lsdException w:name="index heading" w:locked="1" w:semiHidden="1" w:unhideWhenUsed="1"/>
    <w:lsdException w:name="caption" w:semiHidden="1" w:unhideWhenUsed="1" w:qFormat="1"/>
    <w:lsdException w:name="envelope address" w:locked="1" w:semiHidden="1" w:unhideWhenUsed="1"/>
    <w:lsdException w:name="envelope return" w:locked="1" w:semiHidden="1" w:unhideWhenUsed="1"/>
    <w:lsdException w:name="footnote reference" w:uiPriority="5"/>
    <w:lsdException w:name="annotation reference" w:semiHidden="1" w:unhideWhenUsed="1"/>
    <w:lsdException w:name="line number" w:uiPriority="3"/>
    <w:lsdException w:name="page number" w:locked="1" w:qFormat="1"/>
    <w:lsdException w:name="endnote reference" w:semiHidden="1" w:unhideWhenUsed="1"/>
    <w:lsdException w:name="endnote text" w:semiHidden="1" w:unhideWhenUsed="1"/>
    <w:lsdException w:name="table of authorities" w:locked="1"/>
    <w:lsdException w:name="macro" w:locked="1" w:semiHidden="1" w:unhideWhenUsed="1"/>
    <w:lsdException w:name="toa heading" w:locked="1" w:semiHidden="1" w:unhideWhenUsed="1"/>
    <w:lsdException w:name="List" w:uiPriority="3"/>
    <w:lsdException w:name="List 2" w:uiPriority="3"/>
    <w:lsdException w:name="List 3" w:locked="1" w:semiHidden="1" w:unhideWhenUsed="1"/>
    <w:lsdException w:name="List 4" w:locked="1" w:semiHidden="1" w:unhideWhenUsed="1"/>
    <w:lsdException w:name="List 5"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semiHidden="1" w:unhideWhenUsed="1"/>
    <w:lsdException w:name="Signature" w:locked="1" w:semiHidden="1" w:unhideWhenUsed="1"/>
    <w:lsdException w:name="Body Text Indent"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qFormat="1"/>
    <w:lsdException w:name="Salutation" w:locked="1" w:semiHidden="1" w:unhideWhenUsed="1"/>
    <w:lsdException w:name="Date" w:semiHidden="1" w:unhideWhenUsed="1"/>
    <w:lsdException w:name="Body Text First Indent 2" w:semiHidden="1" w:unhideWhenUsed="1"/>
    <w:lsdException w:name="Note Heading" w:locked="1"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3"/>
    <w:lsdException w:name="FollowedHyperlink" w:uiPriority="5"/>
    <w:lsdException w:name="Strong" w:qFormat="1"/>
    <w:lsdException w:name="Emphasis" w:qFormat="1"/>
    <w:lsdException w:name="Document Map" w:semiHidden="1" w:unhideWhenUsed="1"/>
    <w:lsdException w:name="Plain Text" w:locked="1" w:semiHidden="1" w:unhideWhenUsed="1"/>
    <w:lsdException w:name="E-mail Signature" w:semiHidden="1" w:unhideWhenUsed="1"/>
    <w:lsdException w:name="Normal (Web)" w:locked="1"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Table Web 1" w:locked="1"/>
    <w:lsdException w:name="Table Web 2" w:locked="1"/>
    <w:lsdException w:name="Table Web 3" w:locked="1"/>
    <w:lsdException w:name="Balloon Text" w:semiHidden="1" w:unhideWhenUsed="1"/>
    <w:lsdException w:name="Placeholder Text" w:locked="1" w:semiHidden="1" w:unhideWhenUsed="1"/>
    <w:lsdException w:name="No Spacing" w:locked="1" w:semiHidden="1" w:unhideWhenUsed="1" w:qFormat="1"/>
    <w:lsdException w:name="Medium Shading 1" w:locked="1"/>
    <w:lsdException w:name="Medium Shading 2" w:locked="1"/>
    <w:lsdException w:name="Medium List 1" w:locked="1"/>
    <w:lsdException w:name="Medium List 2" w:locked="1"/>
    <w:lsdException w:name="Medium Grid 1" w:locked="1"/>
    <w:lsdException w:name="Medium Grid 2" w:locked="1"/>
    <w:lsdException w:name="Medium Grid 3" w:locked="1"/>
    <w:lsdException w:name="Medium Shading 1 Accent 1" w:locked="1"/>
    <w:lsdException w:name="Medium Shading 2 Accent 1" w:locked="1"/>
    <w:lsdException w:name="Medium List 1 Accent 1" w:locked="1"/>
    <w:lsdException w:name="List Paragraph" w:uiPriority="3" w:qFormat="1"/>
    <w:lsdException w:name="Quote" w:qFormat="1"/>
    <w:lsdException w:name="Intense Quote" w:qFormat="1"/>
    <w:lsdException w:name="Medium List 2 Accent 1" w:locked="1"/>
    <w:lsdException w:name="Medium Grid 1 Accent 1" w:locked="1"/>
    <w:lsdException w:name="Medium Grid 2 Accent 1" w:locked="1"/>
    <w:lsdException w:name="Medium Grid 3 Accent 1" w:locked="1"/>
    <w:lsdException w:name="Medium Shading 1 Accent 2" w:locked="1"/>
    <w:lsdException w:name="Medium Shading 2 Accent 2" w:locked="1"/>
    <w:lsdException w:name="Medium List 1 Accent 2" w:locked="1"/>
    <w:lsdException w:name="Medium List 2 Accent 2" w:locked="1"/>
    <w:lsdException w:name="Medium Grid 1 Accent 2" w:locked="1"/>
    <w:lsdException w:name="Medium Grid 2 Accent 2" w:locked="1"/>
    <w:lsdException w:name="Medium Grid 3 Accent 2" w:locked="1"/>
    <w:lsdException w:name="Medium Shading 1 Accent 3" w:locked="1"/>
    <w:lsdException w:name="Medium Shading 2 Accent 3" w:locked="1"/>
    <w:lsdException w:name="Medium List 1 Accent 3" w:locked="1"/>
    <w:lsdException w:name="Medium List 2 Accent 3" w:locked="1"/>
    <w:lsdException w:name="Medium Grid 1 Accent 3" w:locked="1"/>
    <w:lsdException w:name="Medium Grid 2 Accent 3" w:locked="1"/>
    <w:lsdException w:name="Medium Grid 3 Accent 3" w:locked="1"/>
    <w:lsdException w:name="Medium Shading 1 Accent 4" w:locked="1"/>
    <w:lsdException w:name="Medium Shading 2 Accent 4" w:locked="1"/>
    <w:lsdException w:name="Medium List 1 Accent 4" w:locked="1"/>
    <w:lsdException w:name="Medium List 2 Accent 4" w:locked="1"/>
    <w:lsdException w:name="Medium Grid 1 Accent 4" w:locked="1"/>
    <w:lsdException w:name="Medium Grid 2 Accent 4" w:locked="1"/>
    <w:lsdException w:name="Medium Grid 3 Accent 4" w:locked="1"/>
    <w:lsdException w:name="Medium Shading 1 Accent 5" w:locked="1"/>
    <w:lsdException w:name="Medium Shading 2 Accent 5" w:locked="1"/>
    <w:lsdException w:name="Medium List 1 Accent 5" w:locked="1"/>
    <w:lsdException w:name="Medium List 2 Accent 5" w:locked="1"/>
    <w:lsdException w:name="Medium Grid 1 Accent 5" w:locked="1"/>
    <w:lsdException w:name="Medium Grid 2 Accent 5" w:locked="1"/>
    <w:lsdException w:name="Medium Grid 3 Accent 5" w:locked="1"/>
    <w:lsdException w:name="Medium Shading 1 Accent 6" w:locked="1"/>
    <w:lsdException w:name="Medium Shading 2 Accent 6" w:locked="1"/>
    <w:lsdException w:name="Medium List 1 Accent 6" w:locked="1"/>
    <w:lsdException w:name="Medium List 2 Accent 6" w:locked="1"/>
    <w:lsdException w:name="Medium Grid 1 Accent 6" w:locked="1"/>
    <w:lsdException w:name="Medium Grid 2 Accent 6" w:locked="1"/>
    <w:lsdException w:name="Medium Grid 3 Accent 6" w:locked="1"/>
    <w:lsdException w:name="Subtle Emphasis" w:qFormat="1"/>
    <w:lsdException w:name="Intense Emphasis" w:qFormat="1"/>
    <w:lsdException w:name="Subtle Reference" w:locked="1" w:semiHidden="1" w:unhideWhenUsed="1"/>
    <w:lsdException w:name="Intense Reference" w:locked="1" w:semiHidden="1" w:unhideWhenUsed="1"/>
    <w:lsdException w:name="Book Title" w:semiHidden="1" w:unhideWhenUsed="1" w:qFormat="1"/>
    <w:lsdException w:name="Bibliography" w:semiHidden="1" w:unhideWhenUsed="1"/>
    <w:lsdException w:name="TOC Heading" w:semiHidden="1" w:unhideWhenUsed="1" w:qFormat="1"/>
  </w:latentStyles>
  <w:style w:type="paragraph" w:default="1" w:styleId="Normal">
    <w:name w:val="Normal"/>
    <w:semiHidden/>
    <w:unhideWhenUsed/>
    <w:qFormat/>
    <w:rsid w:val="00142603"/>
    <w:pPr>
      <w:spacing w:before="120" w:after="113"/>
    </w:pPr>
  </w:style>
  <w:style w:type="paragraph" w:styleId="Heading1">
    <w:name w:val="heading 1"/>
    <w:basedOn w:val="Normal"/>
    <w:next w:val="Normal"/>
    <w:link w:val="Heading1Char"/>
    <w:semiHidden/>
    <w:qFormat/>
    <w:locked/>
    <w:rsid w:val="009C4DAA"/>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semiHidden/>
    <w:qFormat/>
    <w:locked/>
    <w:rsid w:val="003F5AF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qFormat/>
    <w:locked/>
    <w:rsid w:val="003F5AF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qFormat/>
    <w:locked/>
    <w:rsid w:val="003F5AF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PBOtables">
    <w:name w:val="PBO tables"/>
    <w:basedOn w:val="TableNormal"/>
    <w:qFormat/>
    <w:rsid w:val="007A74D9"/>
    <w:tblPr>
      <w:tblStyleRowBandSize w:val="1"/>
    </w:tblPr>
    <w:tcPr>
      <w:vAlign w:val="center"/>
    </w:tcPr>
    <w:tblStylePr w:type="firstRow">
      <w:pPr>
        <w:jc w:val="center"/>
      </w:pPr>
      <w:rPr>
        <w:rFonts w:ascii="Symbol" w:hAnsi="Symbol"/>
        <w:b/>
        <w:color w:val="FFFFFF"/>
        <w:sz w:val="19"/>
      </w:rPr>
      <w:tblPr/>
      <w:tcPr>
        <w:tcBorders>
          <w:insideV w:val="nil"/>
        </w:tcBorders>
        <w:shd w:val="clear" w:color="auto" w:fill="264A76"/>
        <w:vAlign w:val="center"/>
      </w:tcPr>
    </w:tblStylePr>
    <w:tblStylePr w:type="firstCol">
      <w:pPr>
        <w:jc w:val="left"/>
      </w:pPr>
      <w:rPr>
        <w:rFonts w:ascii="Symbol" w:hAnsi="Symbol"/>
        <w:b/>
      </w:rPr>
      <w:tblPr/>
      <w:tcPr>
        <w:vAlign w:val="center"/>
      </w:tcPr>
    </w:tblStylePr>
    <w:tblStylePr w:type="band1Horz">
      <w:pPr>
        <w:jc w:val="center"/>
      </w:pPr>
      <w:tblPr/>
      <w:tcPr>
        <w:shd w:val="clear" w:color="auto" w:fill="D7DCE4"/>
        <w:vAlign w:val="center"/>
      </w:tcPr>
    </w:tblStylePr>
    <w:tblStylePr w:type="band2Horz">
      <w:pPr>
        <w:jc w:val="center"/>
      </w:pPr>
      <w:rPr>
        <w:rFonts w:ascii="Symbol" w:hAnsi="Symbol"/>
        <w:sz w:val="20"/>
      </w:rPr>
      <w:tblPr/>
      <w:tcPr>
        <w:shd w:val="clear" w:color="auto" w:fill="FFFFFF"/>
        <w:vAlign w:val="center"/>
      </w:tcPr>
    </w:tblStylePr>
  </w:style>
  <w:style w:type="paragraph" w:customStyle="1" w:styleId="PBOtext">
    <w:name w:val="PBO text"/>
    <w:basedOn w:val="Normal"/>
    <w:qFormat/>
    <w:rsid w:val="00872117"/>
    <w:pPr>
      <w:spacing w:line="288" w:lineRule="auto"/>
    </w:pPr>
  </w:style>
  <w:style w:type="paragraph" w:customStyle="1" w:styleId="PBObullet">
    <w:name w:val="PBO bullet"/>
    <w:basedOn w:val="PBOtext"/>
    <w:qFormat/>
    <w:rsid w:val="00207C1F"/>
    <w:pPr>
      <w:ind w:left="284" w:hanging="284"/>
    </w:pPr>
  </w:style>
  <w:style w:type="paragraph" w:customStyle="1" w:styleId="PBOheading1">
    <w:name w:val="PBO heading 1"/>
    <w:basedOn w:val="Heading1"/>
    <w:uiPriority w:val="1"/>
    <w:qFormat/>
    <w:rsid w:val="003F5AFA"/>
    <w:pPr>
      <w:spacing w:before="680" w:after="480"/>
    </w:pPr>
    <w:rPr>
      <w:rFonts w:ascii="Georgia" w:hAnsi="Georgia"/>
      <w:b w:val="0"/>
      <w:color w:val="264A76"/>
      <w:sz w:val="36"/>
      <w:szCs w:val="24"/>
      <w:lang w:eastAsia="en-US"/>
    </w:rPr>
  </w:style>
  <w:style w:type="paragraph" w:customStyle="1" w:styleId="PBOheading2">
    <w:name w:val="PBO heading 2"/>
    <w:basedOn w:val="Heading2"/>
    <w:uiPriority w:val="1"/>
    <w:qFormat/>
    <w:rsid w:val="004C1051"/>
    <w:pPr>
      <w:spacing w:before="320" w:after="170" w:line="288" w:lineRule="auto"/>
    </w:pPr>
    <w:rPr>
      <w:rFonts w:ascii="Georgia" w:hAnsi="Georgia"/>
      <w:b w:val="0"/>
      <w:color w:val="264A76"/>
      <w:sz w:val="28"/>
    </w:rPr>
  </w:style>
  <w:style w:type="paragraph" w:customStyle="1" w:styleId="PBOfiguretableheading">
    <w:name w:val="PBO figure/table heading"/>
    <w:uiPriority w:val="2"/>
    <w:qFormat/>
    <w:rsid w:val="00B206A8"/>
    <w:pPr>
      <w:spacing w:before="200" w:after="113" w:line="288" w:lineRule="auto"/>
    </w:pPr>
    <w:rPr>
      <w:b/>
      <w:i/>
      <w:color w:val="264A76"/>
      <w:szCs w:val="24"/>
      <w:lang w:eastAsia="en-US"/>
    </w:rPr>
  </w:style>
  <w:style w:type="paragraph" w:customStyle="1" w:styleId="PBOheading3">
    <w:name w:val="PBO heading 3"/>
    <w:basedOn w:val="Heading3"/>
    <w:uiPriority w:val="1"/>
    <w:qFormat/>
    <w:rsid w:val="004C1051"/>
    <w:pPr>
      <w:spacing w:after="200"/>
    </w:pPr>
    <w:rPr>
      <w:rFonts w:ascii="Calibri" w:hAnsi="Calibri"/>
      <w:color w:val="auto"/>
      <w:sz w:val="22"/>
      <w:szCs w:val="24"/>
      <w:lang w:eastAsia="en-US"/>
    </w:rPr>
  </w:style>
  <w:style w:type="paragraph" w:styleId="Title">
    <w:name w:val="Title"/>
    <w:basedOn w:val="Normal"/>
    <w:next w:val="Subtitle"/>
    <w:link w:val="TitleChar"/>
    <w:qFormat/>
    <w:rsid w:val="0075400C"/>
    <w:pPr>
      <w:spacing w:before="4300"/>
      <w:jc w:val="right"/>
    </w:pPr>
    <w:rPr>
      <w:rFonts w:ascii="Georgia" w:hAnsi="Georgia"/>
      <w:color w:val="264A76"/>
      <w:sz w:val="50"/>
    </w:rPr>
  </w:style>
  <w:style w:type="character" w:customStyle="1" w:styleId="TitleChar">
    <w:name w:val="Title Char"/>
    <w:link w:val="Title"/>
    <w:rsid w:val="00CD21A6"/>
    <w:rPr>
      <w:rFonts w:ascii="Georgia" w:hAnsi="Georgia"/>
      <w:color w:val="264A76"/>
      <w:sz w:val="50"/>
    </w:rPr>
  </w:style>
  <w:style w:type="paragraph" w:styleId="Subtitle">
    <w:name w:val="Subtitle"/>
    <w:basedOn w:val="Normal"/>
    <w:next w:val="Normal"/>
    <w:link w:val="SubtitleChar"/>
    <w:uiPriority w:val="2"/>
    <w:qFormat/>
    <w:rsid w:val="002D2904"/>
    <w:pPr>
      <w:jc w:val="right"/>
    </w:pPr>
    <w:rPr>
      <w:rFonts w:ascii="Georgia" w:hAnsi="Georgia"/>
      <w:color w:val="808080"/>
      <w:sz w:val="50"/>
    </w:rPr>
  </w:style>
  <w:style w:type="character" w:customStyle="1" w:styleId="SubtitleChar">
    <w:name w:val="Subtitle Char"/>
    <w:link w:val="Subtitle"/>
    <w:uiPriority w:val="2"/>
    <w:rsid w:val="009C600F"/>
    <w:rPr>
      <w:rFonts w:ascii="Georgia" w:hAnsi="Georgia"/>
      <w:color w:val="808080"/>
      <w:sz w:val="50"/>
    </w:rPr>
  </w:style>
  <w:style w:type="paragraph" w:styleId="Header">
    <w:name w:val="header"/>
    <w:basedOn w:val="Normal"/>
    <w:link w:val="HeaderChar"/>
    <w:uiPriority w:val="5"/>
    <w:rsid w:val="00CD21A6"/>
    <w:pPr>
      <w:tabs>
        <w:tab w:val="center" w:pos="4513"/>
        <w:tab w:val="right" w:pos="9026"/>
      </w:tabs>
    </w:pPr>
    <w:rPr>
      <w:color w:val="808080"/>
    </w:rPr>
  </w:style>
  <w:style w:type="character" w:customStyle="1" w:styleId="HeaderChar">
    <w:name w:val="Header Char"/>
    <w:link w:val="Header"/>
    <w:uiPriority w:val="5"/>
    <w:rsid w:val="00CD21A6"/>
    <w:rPr>
      <w:color w:val="808080"/>
    </w:rPr>
  </w:style>
  <w:style w:type="paragraph" w:styleId="Footer">
    <w:name w:val="footer"/>
    <w:basedOn w:val="Normal"/>
    <w:link w:val="FooterChar"/>
    <w:uiPriority w:val="5"/>
    <w:qFormat/>
    <w:rsid w:val="008442B5"/>
    <w:rPr>
      <w:b/>
    </w:rPr>
  </w:style>
  <w:style w:type="character" w:customStyle="1" w:styleId="FooterChar">
    <w:name w:val="Footer Char"/>
    <w:link w:val="Footer"/>
    <w:uiPriority w:val="5"/>
    <w:rsid w:val="008442B5"/>
    <w:rPr>
      <w:b/>
    </w:rPr>
  </w:style>
  <w:style w:type="character" w:styleId="PageNumber">
    <w:name w:val="page number"/>
    <w:uiPriority w:val="4"/>
    <w:unhideWhenUsed/>
    <w:qFormat/>
    <w:locked/>
    <w:rsid w:val="009530F3"/>
    <w:rPr>
      <w:rFonts w:ascii="Calibri" w:hAnsi="Calibri"/>
      <w:b/>
      <w:color w:val="224A76"/>
      <w:sz w:val="18"/>
    </w:rPr>
  </w:style>
  <w:style w:type="paragraph" w:customStyle="1" w:styleId="Oddpagefooter">
    <w:name w:val="Odd page footer"/>
    <w:basedOn w:val="Footer"/>
    <w:semiHidden/>
    <w:unhideWhenUsed/>
    <w:qFormat/>
    <w:rsid w:val="00FC4271"/>
    <w:pPr>
      <w:jc w:val="right"/>
    </w:pPr>
  </w:style>
  <w:style w:type="table" w:styleId="TableGrid">
    <w:name w:val="Table Grid"/>
    <w:basedOn w:val="TableNormal"/>
    <w:rsid w:val="009530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BOheading4">
    <w:name w:val="PBO heading 4"/>
    <w:basedOn w:val="Heading4"/>
    <w:next w:val="PBOtext"/>
    <w:uiPriority w:val="1"/>
    <w:qFormat/>
    <w:rsid w:val="004C1051"/>
    <w:rPr>
      <w:rFonts w:ascii="Calibri" w:hAnsi="Calibri"/>
      <w:b w:val="0"/>
      <w:color w:val="auto"/>
      <w:sz w:val="24"/>
    </w:rPr>
  </w:style>
  <w:style w:type="paragraph" w:styleId="Quote">
    <w:name w:val="Quote"/>
    <w:basedOn w:val="Normal"/>
    <w:next w:val="Normal"/>
    <w:link w:val="QuoteChar"/>
    <w:uiPriority w:val="5"/>
    <w:qFormat/>
    <w:rsid w:val="00B771B1"/>
    <w:pPr>
      <w:spacing w:after="120"/>
      <w:ind w:left="720"/>
    </w:pPr>
    <w:rPr>
      <w:i/>
      <w:iCs/>
      <w:color w:val="000000"/>
    </w:rPr>
  </w:style>
  <w:style w:type="character" w:customStyle="1" w:styleId="QuoteChar">
    <w:name w:val="Quote Char"/>
    <w:link w:val="Quote"/>
    <w:uiPriority w:val="5"/>
    <w:rsid w:val="00CD21A6"/>
    <w:rPr>
      <w:i/>
      <w:iCs/>
      <w:color w:val="000000"/>
    </w:rPr>
  </w:style>
  <w:style w:type="character" w:styleId="Strong">
    <w:name w:val="Strong"/>
    <w:uiPriority w:val="2"/>
    <w:qFormat/>
    <w:rsid w:val="00B771B1"/>
    <w:rPr>
      <w:rFonts w:ascii="Calibri" w:hAnsi="Calibri"/>
      <w:b/>
      <w:bCs/>
      <w:sz w:val="20"/>
    </w:rPr>
  </w:style>
  <w:style w:type="paragraph" w:styleId="BodyText">
    <w:name w:val="Body Text"/>
    <w:basedOn w:val="PBOtext"/>
    <w:link w:val="BodyTextChar"/>
    <w:uiPriority w:val="2"/>
    <w:unhideWhenUsed/>
    <w:rsid w:val="00B771B1"/>
    <w:pPr>
      <w:spacing w:after="120"/>
    </w:pPr>
  </w:style>
  <w:style w:type="character" w:customStyle="1" w:styleId="BodyTextChar">
    <w:name w:val="Body Text Char"/>
    <w:basedOn w:val="DefaultParagraphFont"/>
    <w:link w:val="BodyText"/>
    <w:uiPriority w:val="2"/>
    <w:rsid w:val="00CD21A6"/>
  </w:style>
  <w:style w:type="paragraph" w:styleId="BodyText2">
    <w:name w:val="Body Text 2"/>
    <w:basedOn w:val="PBOtext"/>
    <w:link w:val="BodyText2Char"/>
    <w:uiPriority w:val="2"/>
    <w:unhideWhenUsed/>
    <w:rsid w:val="00B771B1"/>
    <w:pPr>
      <w:spacing w:after="120" w:line="480" w:lineRule="auto"/>
    </w:pPr>
  </w:style>
  <w:style w:type="character" w:customStyle="1" w:styleId="BodyText2Char">
    <w:name w:val="Body Text 2 Char"/>
    <w:basedOn w:val="DefaultParagraphFont"/>
    <w:link w:val="BodyText2"/>
    <w:uiPriority w:val="2"/>
    <w:rsid w:val="00CD21A6"/>
  </w:style>
  <w:style w:type="paragraph" w:styleId="BodyTextFirstIndent">
    <w:name w:val="Body Text First Indent"/>
    <w:basedOn w:val="BodyText"/>
    <w:link w:val="BodyTextFirstIndentChar"/>
    <w:autoRedefine/>
    <w:uiPriority w:val="2"/>
    <w:unhideWhenUsed/>
    <w:rsid w:val="00B771B1"/>
    <w:pPr>
      <w:spacing w:before="0" w:line="240" w:lineRule="auto"/>
      <w:ind w:firstLine="210"/>
    </w:pPr>
    <w:rPr>
      <w:rFonts w:ascii="Cambria" w:hAnsi="Cambria"/>
      <w:sz w:val="24"/>
    </w:rPr>
  </w:style>
  <w:style w:type="character" w:customStyle="1" w:styleId="BodyTextFirstIndentChar">
    <w:name w:val="Body Text First Indent Char"/>
    <w:link w:val="BodyTextFirstIndent"/>
    <w:uiPriority w:val="2"/>
    <w:rsid w:val="00CD21A6"/>
    <w:rPr>
      <w:rFonts w:ascii="Cambria" w:hAnsi="Cambria"/>
      <w:sz w:val="24"/>
    </w:rPr>
  </w:style>
  <w:style w:type="paragraph" w:styleId="Caption">
    <w:name w:val="caption"/>
    <w:basedOn w:val="Normal"/>
    <w:next w:val="Normal"/>
    <w:uiPriority w:val="5"/>
    <w:qFormat/>
    <w:rsid w:val="00872117"/>
    <w:rPr>
      <w:rFonts w:ascii="Cambria" w:hAnsi="Cambria"/>
      <w:b/>
      <w:bCs/>
      <w:color w:val="224A76"/>
    </w:rPr>
  </w:style>
  <w:style w:type="character" w:styleId="Emphasis">
    <w:name w:val="Emphasis"/>
    <w:uiPriority w:val="2"/>
    <w:qFormat/>
    <w:rsid w:val="00B771B1"/>
    <w:rPr>
      <w:i/>
      <w:iCs/>
    </w:rPr>
  </w:style>
  <w:style w:type="character" w:styleId="SubtleEmphasis">
    <w:name w:val="Subtle Emphasis"/>
    <w:uiPriority w:val="2"/>
    <w:qFormat/>
    <w:rsid w:val="009C4DAA"/>
    <w:rPr>
      <w:i/>
      <w:iCs/>
      <w:color w:val="808080"/>
    </w:rPr>
  </w:style>
  <w:style w:type="paragraph" w:styleId="TableofFigures">
    <w:name w:val="table of figures"/>
    <w:basedOn w:val="Normal"/>
    <w:next w:val="Normal"/>
    <w:uiPriority w:val="2"/>
    <w:unhideWhenUsed/>
    <w:rsid w:val="009C4DAA"/>
  </w:style>
  <w:style w:type="paragraph" w:styleId="TableofAuthorities">
    <w:name w:val="table of authorities"/>
    <w:basedOn w:val="Normal"/>
    <w:next w:val="Normal"/>
    <w:semiHidden/>
    <w:locked/>
    <w:rsid w:val="009C4DAA"/>
    <w:pPr>
      <w:ind w:left="240" w:hanging="240"/>
    </w:pPr>
  </w:style>
  <w:style w:type="character" w:customStyle="1" w:styleId="Heading1Char">
    <w:name w:val="Heading 1 Char"/>
    <w:link w:val="Heading1"/>
    <w:semiHidden/>
    <w:rsid w:val="00CD21A6"/>
    <w:rPr>
      <w:rFonts w:ascii="Cambria" w:eastAsia="Times New Roman" w:hAnsi="Cambria" w:cs="Times New Roman"/>
      <w:b/>
      <w:bCs/>
      <w:kern w:val="32"/>
      <w:sz w:val="32"/>
      <w:szCs w:val="32"/>
    </w:rPr>
  </w:style>
  <w:style w:type="paragraph" w:styleId="TOCHeading">
    <w:name w:val="TOC Heading"/>
    <w:basedOn w:val="Heading1"/>
    <w:next w:val="Normal"/>
    <w:uiPriority w:val="3"/>
    <w:qFormat/>
    <w:rsid w:val="00382474"/>
    <w:pPr>
      <w:outlineLvl w:val="9"/>
    </w:pPr>
    <w:rPr>
      <w:color w:val="808080"/>
    </w:rPr>
  </w:style>
  <w:style w:type="paragraph" w:styleId="ListBullet">
    <w:name w:val="List Bullet"/>
    <w:basedOn w:val="PBObullet"/>
    <w:uiPriority w:val="3"/>
    <w:rsid w:val="009C4DAA"/>
    <w:pPr>
      <w:numPr>
        <w:numId w:val="1"/>
      </w:numPr>
      <w:contextualSpacing/>
    </w:pPr>
  </w:style>
  <w:style w:type="paragraph" w:styleId="ListBullet2">
    <w:name w:val="List Bullet 2"/>
    <w:basedOn w:val="ListBullet"/>
    <w:uiPriority w:val="3"/>
    <w:rsid w:val="009C4DAA"/>
    <w:pPr>
      <w:numPr>
        <w:numId w:val="2"/>
      </w:numPr>
    </w:pPr>
  </w:style>
  <w:style w:type="paragraph" w:styleId="ListContinue">
    <w:name w:val="List Continue"/>
    <w:basedOn w:val="PBOtext"/>
    <w:uiPriority w:val="3"/>
    <w:rsid w:val="009C4DAA"/>
    <w:pPr>
      <w:spacing w:after="120"/>
      <w:ind w:left="283"/>
      <w:contextualSpacing/>
    </w:pPr>
  </w:style>
  <w:style w:type="paragraph" w:styleId="ListContinue2">
    <w:name w:val="List Continue 2"/>
    <w:basedOn w:val="PBOtext"/>
    <w:uiPriority w:val="3"/>
    <w:rsid w:val="009C4DAA"/>
    <w:pPr>
      <w:spacing w:after="120"/>
      <w:ind w:left="566"/>
      <w:contextualSpacing/>
    </w:pPr>
  </w:style>
  <w:style w:type="paragraph" w:styleId="ListNumber">
    <w:name w:val="List Number"/>
    <w:basedOn w:val="PBOtext"/>
    <w:uiPriority w:val="3"/>
    <w:rsid w:val="009C4DAA"/>
    <w:pPr>
      <w:numPr>
        <w:numId w:val="6"/>
      </w:numPr>
      <w:contextualSpacing/>
    </w:pPr>
  </w:style>
  <w:style w:type="paragraph" w:styleId="ListNumber2">
    <w:name w:val="List Number 2"/>
    <w:basedOn w:val="PBOtext"/>
    <w:uiPriority w:val="3"/>
    <w:rsid w:val="009C4DAA"/>
    <w:pPr>
      <w:numPr>
        <w:numId w:val="7"/>
      </w:numPr>
      <w:contextualSpacing/>
    </w:pPr>
  </w:style>
  <w:style w:type="character" w:styleId="IntenseEmphasis">
    <w:name w:val="Intense Emphasis"/>
    <w:uiPriority w:val="5"/>
    <w:qFormat/>
    <w:rsid w:val="00CD21A6"/>
    <w:rPr>
      <w:b/>
      <w:bCs/>
      <w:i/>
      <w:iCs/>
      <w:color w:val="auto"/>
    </w:rPr>
  </w:style>
  <w:style w:type="paragraph" w:styleId="IntenseQuote">
    <w:name w:val="Intense Quote"/>
    <w:basedOn w:val="Normal"/>
    <w:next w:val="Normal"/>
    <w:link w:val="IntenseQuoteChar"/>
    <w:uiPriority w:val="5"/>
    <w:qFormat/>
    <w:rsid w:val="00CD21A6"/>
    <w:pPr>
      <w:pBdr>
        <w:bottom w:val="single" w:sz="4" w:space="4" w:color="D7DCE4"/>
      </w:pBdr>
      <w:spacing w:before="200" w:after="280"/>
      <w:ind w:left="936" w:right="936"/>
    </w:pPr>
    <w:rPr>
      <w:rFonts w:ascii="Cambria" w:hAnsi="Cambria"/>
      <w:b/>
      <w:bCs/>
      <w:i/>
      <w:iCs/>
      <w:color w:val="224A76"/>
      <w:sz w:val="22"/>
    </w:rPr>
  </w:style>
  <w:style w:type="character" w:customStyle="1" w:styleId="IntenseQuoteChar">
    <w:name w:val="Intense Quote Char"/>
    <w:link w:val="IntenseQuote"/>
    <w:uiPriority w:val="5"/>
    <w:rsid w:val="00CD21A6"/>
    <w:rPr>
      <w:rFonts w:ascii="Cambria" w:hAnsi="Cambria"/>
      <w:b/>
      <w:bCs/>
      <w:i/>
      <w:iCs/>
      <w:color w:val="224A76"/>
      <w:sz w:val="22"/>
    </w:rPr>
  </w:style>
  <w:style w:type="paragraph" w:styleId="BalloonText">
    <w:name w:val="Balloon Text"/>
    <w:basedOn w:val="Normal"/>
    <w:link w:val="BalloonTextChar"/>
    <w:semiHidden/>
    <w:unhideWhenUsed/>
    <w:rsid w:val="005F24F2"/>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sid w:val="005F24F2"/>
    <w:rPr>
      <w:rFonts w:ascii="Tahoma" w:hAnsi="Tahoma" w:cs="Tahoma"/>
      <w:sz w:val="16"/>
      <w:szCs w:val="16"/>
    </w:rPr>
  </w:style>
  <w:style w:type="character" w:customStyle="1" w:styleId="Heading2Char">
    <w:name w:val="Heading 2 Char"/>
    <w:basedOn w:val="DefaultParagraphFont"/>
    <w:link w:val="Heading2"/>
    <w:semiHidden/>
    <w:rsid w:val="003F5AF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semiHidden/>
    <w:rsid w:val="003F5AF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semiHidden/>
    <w:rsid w:val="003F5AFA"/>
    <w:rPr>
      <w:rFonts w:asciiTheme="majorHAnsi" w:eastAsiaTheme="majorEastAsia" w:hAnsiTheme="majorHAnsi" w:cstheme="majorBidi"/>
      <w:b/>
      <w:bCs/>
      <w:i/>
      <w:iCs/>
      <w:color w:val="4F81BD" w:themeColor="accent1"/>
    </w:rPr>
  </w:style>
  <w:style w:type="paragraph" w:customStyle="1" w:styleId="PBOfooter">
    <w:name w:val="PBO footer"/>
    <w:basedOn w:val="PBOtext"/>
    <w:qFormat/>
    <w:rsid w:val="000A68A9"/>
    <w:pPr>
      <w:spacing w:before="0" w:after="0"/>
    </w:pPr>
    <w:rPr>
      <w:b/>
      <w:noProof/>
      <w:szCs w:val="24"/>
      <w:lang w:eastAsia="en-US"/>
    </w:rPr>
  </w:style>
  <w:style w:type="paragraph" w:styleId="FootnoteText">
    <w:name w:val="footnote text"/>
    <w:basedOn w:val="Normal"/>
    <w:link w:val="FootnoteTextChar"/>
    <w:uiPriority w:val="5"/>
    <w:rsid w:val="00566AD8"/>
    <w:pPr>
      <w:spacing w:before="0" w:after="0"/>
    </w:pPr>
  </w:style>
  <w:style w:type="character" w:customStyle="1" w:styleId="FootnoteTextChar">
    <w:name w:val="Footnote Text Char"/>
    <w:basedOn w:val="DefaultParagraphFont"/>
    <w:link w:val="FootnoteText"/>
    <w:uiPriority w:val="5"/>
    <w:rsid w:val="00566AD8"/>
  </w:style>
  <w:style w:type="character" w:styleId="FootnoteReference">
    <w:name w:val="footnote reference"/>
    <w:basedOn w:val="DefaultParagraphFont"/>
    <w:uiPriority w:val="5"/>
    <w:rsid w:val="00566AD8"/>
    <w:rPr>
      <w:vertAlign w:val="superscript"/>
    </w:rPr>
  </w:style>
  <w:style w:type="character" w:styleId="Hyperlink">
    <w:name w:val="Hyperlink"/>
    <w:basedOn w:val="DefaultParagraphFont"/>
    <w:uiPriority w:val="3"/>
    <w:rsid w:val="00314A5D"/>
    <w:rPr>
      <w:color w:val="0000FF" w:themeColor="hyperlink"/>
      <w:u w:val="single"/>
    </w:rPr>
  </w:style>
  <w:style w:type="paragraph" w:styleId="EndnoteText">
    <w:name w:val="endnote text"/>
    <w:basedOn w:val="Normal"/>
    <w:link w:val="EndnoteTextChar"/>
    <w:semiHidden/>
    <w:unhideWhenUsed/>
    <w:rsid w:val="00992A9F"/>
    <w:pPr>
      <w:spacing w:before="0" w:after="0"/>
    </w:pPr>
  </w:style>
  <w:style w:type="character" w:customStyle="1" w:styleId="EndnoteTextChar">
    <w:name w:val="Endnote Text Char"/>
    <w:basedOn w:val="DefaultParagraphFont"/>
    <w:link w:val="EndnoteText"/>
    <w:semiHidden/>
    <w:rsid w:val="00992A9F"/>
  </w:style>
  <w:style w:type="character" w:styleId="EndnoteReference">
    <w:name w:val="endnote reference"/>
    <w:basedOn w:val="DefaultParagraphFont"/>
    <w:semiHidden/>
    <w:unhideWhenUsed/>
    <w:rsid w:val="00992A9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lliganl\AppData\Local\Microsoft\Windows\Temporary%20Internet%20Files\Content.Outlook\HZ0VIN88\PBO%20Word%20Template%20Guide%20v3_unlocke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43E9D8-7AA4-4BBE-A65E-BB434F033E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PBO Word Template Guide v3_unlocked.dot</Template>
  <TotalTime>613</TotalTime>
  <Pages>4</Pages>
  <Words>1882</Words>
  <Characters>10395</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Parliamentary Budget Office template</vt:lpstr>
    </vt:vector>
  </TitlesOfParts>
  <Company>Kylie Smith Design</Company>
  <LinksUpToDate>false</LinksUpToDate>
  <CharactersWithSpaces>12253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Overview</dc:title>
  <dc:creator>PBO@pbo.gov.au</dc:creator>
  <cp:lastModifiedBy>Moorhouse, Helen (PBO)</cp:lastModifiedBy>
  <cp:revision>61</cp:revision>
  <cp:lastPrinted>2013-10-17T04:14:00Z</cp:lastPrinted>
  <dcterms:created xsi:type="dcterms:W3CDTF">2013-10-10T06:16:00Z</dcterms:created>
  <dcterms:modified xsi:type="dcterms:W3CDTF">2014-12-09T04:26:00Z</dcterms:modified>
</cp:coreProperties>
</file>