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C" w:rsidRDefault="00DE67C7" w:rsidP="0075400C">
      <w:pPr>
        <w:pStyle w:val="Title"/>
      </w:pPr>
      <w:r>
        <w:t>Post-</w:t>
      </w:r>
      <w:r w:rsidR="002A3DC5">
        <w:t>e</w:t>
      </w:r>
      <w:r w:rsidR="00C9613F">
        <w:t>lection</w:t>
      </w:r>
      <w:r>
        <w:t xml:space="preserve"> report of </w:t>
      </w:r>
      <w:r w:rsidR="002A3DC5">
        <w:br/>
      </w:r>
      <w:r>
        <w:t>election</w:t>
      </w:r>
      <w:r w:rsidR="002A3DC5">
        <w:t xml:space="preserve"> </w:t>
      </w:r>
      <w:r>
        <w:t>commitments</w:t>
      </w:r>
    </w:p>
    <w:p w:rsidR="0075400C" w:rsidRPr="00C9613F" w:rsidRDefault="00DE67C7" w:rsidP="002A3DC5">
      <w:pPr>
        <w:pStyle w:val="Subtitle"/>
        <w:spacing w:before="480"/>
        <w:rPr>
          <w:sz w:val="40"/>
          <w:szCs w:val="40"/>
        </w:rPr>
      </w:pPr>
      <w:r>
        <w:rPr>
          <w:sz w:val="40"/>
          <w:szCs w:val="40"/>
        </w:rPr>
        <w:t xml:space="preserve">2013 </w:t>
      </w:r>
      <w:r w:rsidR="002A3DC5">
        <w:rPr>
          <w:sz w:val="40"/>
          <w:szCs w:val="40"/>
        </w:rPr>
        <w:t>gen</w:t>
      </w:r>
      <w:r>
        <w:rPr>
          <w:sz w:val="40"/>
          <w:szCs w:val="40"/>
        </w:rPr>
        <w:t xml:space="preserve">eral </w:t>
      </w:r>
      <w:r w:rsidR="002A3DC5">
        <w:rPr>
          <w:sz w:val="40"/>
          <w:szCs w:val="40"/>
        </w:rPr>
        <w:t>e</w:t>
      </w:r>
      <w:r>
        <w:rPr>
          <w:sz w:val="40"/>
          <w:szCs w:val="40"/>
        </w:rPr>
        <w:t>lection</w:t>
      </w:r>
    </w:p>
    <w:p w:rsidR="005F24F2" w:rsidRDefault="0075400C" w:rsidP="00792507">
      <w:pPr>
        <w:pStyle w:val="PBOtext"/>
        <w:spacing w:before="5160"/>
      </w:pPr>
      <w:r>
        <w:br w:type="page"/>
      </w:r>
      <w:r w:rsidR="005F24F2" w:rsidRPr="006461A3">
        <w:lastRenderedPageBreak/>
        <w:t>© Commonwealth of Australia 2013</w:t>
      </w:r>
    </w:p>
    <w:p w:rsidR="005F24F2" w:rsidRDefault="005F24F2" w:rsidP="005F24F2">
      <w:pPr>
        <w:pStyle w:val="PBOtext"/>
        <w:spacing w:after="0"/>
      </w:pPr>
      <w:r>
        <w:t>ISBN 978-0-9874429-7-0 (Print)</w:t>
      </w:r>
    </w:p>
    <w:p w:rsidR="005F24F2" w:rsidRDefault="005F24F2" w:rsidP="005F24F2">
      <w:pPr>
        <w:pStyle w:val="PBOtext"/>
        <w:spacing w:after="240"/>
      </w:pPr>
      <w:r>
        <w:t>ISBN 978-0-9874429-8-7 (Online)</w:t>
      </w:r>
    </w:p>
    <w:p w:rsidR="005F24F2" w:rsidRDefault="005F24F2" w:rsidP="005F24F2">
      <w:pPr>
        <w:pStyle w:val="PBOtext"/>
      </w:pPr>
      <w:r w:rsidRPr="00E5279B">
        <w:t>This work is licensed under the Creative Commons Attribution-</w:t>
      </w:r>
      <w:proofErr w:type="spellStart"/>
      <w:r w:rsidRPr="00E5279B">
        <w:t>NonCommercial</w:t>
      </w:r>
      <w:proofErr w:type="spellEnd"/>
      <w:r w:rsidRPr="00E5279B">
        <w:t>-</w:t>
      </w:r>
      <w:proofErr w:type="spellStart"/>
      <w:r w:rsidRPr="00E5279B">
        <w:t>NoDerivs</w:t>
      </w:r>
      <w:proofErr w:type="spellEnd"/>
      <w:r w:rsidRPr="00E5279B">
        <w:t xml:space="preserve"> 3.0 Australia License.</w:t>
      </w:r>
    </w:p>
    <w:p w:rsidR="005F24F2" w:rsidRDefault="005F24F2" w:rsidP="005F24F2">
      <w:pPr>
        <w:pStyle w:val="PBOtext"/>
      </w:pPr>
      <w:r>
        <w:rPr>
          <w:noProof/>
        </w:rPr>
        <w:drawing>
          <wp:inline distT="0" distB="0" distL="0" distR="0" wp14:anchorId="6FF2D150" wp14:editId="5154DF8D">
            <wp:extent cx="1110615" cy="391795"/>
            <wp:effectExtent l="0" t="0" r="0" b="8255"/>
            <wp:docPr id="13" name="Picture 13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F2" w:rsidRDefault="005F24F2" w:rsidP="005F24F2">
      <w:pPr>
        <w:pStyle w:val="PBOtext"/>
        <w:spacing w:after="240"/>
      </w:pPr>
      <w:r w:rsidRPr="00E5279B">
        <w:t>The details of this licence are available on the Creative Commons website: http://creativecommons.org/licenses/by-nc-nd/3.0/au/</w:t>
      </w:r>
      <w:r>
        <w:t>.</w:t>
      </w:r>
    </w:p>
    <w:p w:rsidR="005F24F2" w:rsidRDefault="005F24F2" w:rsidP="005F24F2">
      <w:pPr>
        <w:pStyle w:val="PBOtext"/>
        <w:spacing w:after="0"/>
        <w:rPr>
          <w:b/>
        </w:rPr>
      </w:pPr>
      <w:r>
        <w:rPr>
          <w:b/>
        </w:rPr>
        <w:t>Use of the Coat of Arms</w:t>
      </w:r>
    </w:p>
    <w:p w:rsidR="005F24F2" w:rsidRPr="001B7F59" w:rsidRDefault="005F24F2" w:rsidP="005F24F2">
      <w:pPr>
        <w:pStyle w:val="PBOtext"/>
        <w:spacing w:after="240"/>
      </w:pPr>
      <w:r>
        <w:t>The terms under which the Coat of Arms can be used are detailed on the following website: www.itsanhonour.gov.au/coat-arms.</w:t>
      </w:r>
    </w:p>
    <w:p w:rsidR="005F24F2" w:rsidRDefault="005F24F2" w:rsidP="005F24F2">
      <w:pPr>
        <w:pStyle w:val="PBOtext"/>
        <w:spacing w:after="0"/>
      </w:pPr>
      <w:r w:rsidRPr="001F26D3">
        <w:rPr>
          <w:b/>
        </w:rPr>
        <w:t>Produced by:</w:t>
      </w:r>
      <w:r>
        <w:t xml:space="preserve"> Parliamentary Budget Office</w:t>
      </w:r>
    </w:p>
    <w:p w:rsidR="00BE3969" w:rsidRDefault="00BE3969" w:rsidP="005F24F2">
      <w:pPr>
        <w:pStyle w:val="PBOtext"/>
        <w:spacing w:after="0"/>
      </w:pPr>
      <w:r>
        <w:rPr>
          <w:b/>
        </w:rPr>
        <w:t>Design consultants</w:t>
      </w:r>
      <w:r w:rsidRPr="001F26D3">
        <w:rPr>
          <w:b/>
        </w:rPr>
        <w:t>:</w:t>
      </w:r>
      <w:r>
        <w:t xml:space="preserve"> Wilton Hanford Hanover</w:t>
      </w:r>
    </w:p>
    <w:p w:rsidR="005F24F2" w:rsidRPr="001B7F59" w:rsidRDefault="005F24F2" w:rsidP="005F24F2">
      <w:pPr>
        <w:pStyle w:val="PBOtext"/>
        <w:spacing w:after="0"/>
        <w:rPr>
          <w:b/>
        </w:rPr>
      </w:pPr>
      <w:r w:rsidRPr="001B7F59">
        <w:rPr>
          <w:b/>
        </w:rPr>
        <w:t>Assistant Parliamentary Budget Officer</w:t>
      </w:r>
    </w:p>
    <w:p w:rsidR="005F24F2" w:rsidRDefault="005F24F2" w:rsidP="005F24F2">
      <w:pPr>
        <w:pStyle w:val="PBOtext"/>
        <w:spacing w:before="0" w:after="0"/>
      </w:pPr>
      <w:r>
        <w:t>Fiscal Policy Analysis Division</w:t>
      </w:r>
    </w:p>
    <w:p w:rsidR="005F24F2" w:rsidRDefault="005F24F2" w:rsidP="005F24F2">
      <w:pPr>
        <w:pStyle w:val="PBOtext"/>
        <w:spacing w:before="0" w:after="0"/>
      </w:pPr>
      <w:r>
        <w:t>Parliamentary Budget Office</w:t>
      </w:r>
    </w:p>
    <w:p w:rsidR="005F24F2" w:rsidRDefault="005F24F2" w:rsidP="00344E59">
      <w:pPr>
        <w:pStyle w:val="PBOtext"/>
        <w:spacing w:after="0"/>
      </w:pPr>
      <w:r>
        <w:t>Parliament House</w:t>
      </w:r>
    </w:p>
    <w:p w:rsidR="005F24F2" w:rsidRDefault="005F24F2" w:rsidP="005F24F2">
      <w:pPr>
        <w:pStyle w:val="PBOtext"/>
        <w:spacing w:before="0" w:after="0"/>
      </w:pPr>
      <w:r>
        <w:t>PO Box 6010</w:t>
      </w:r>
    </w:p>
    <w:p w:rsidR="005F24F2" w:rsidRDefault="005F24F2" w:rsidP="005F24F2">
      <w:pPr>
        <w:pStyle w:val="PBOtext"/>
        <w:spacing w:before="0"/>
      </w:pPr>
      <w:proofErr w:type="gramStart"/>
      <w:r>
        <w:t>CANBERRA  ACT</w:t>
      </w:r>
      <w:proofErr w:type="gramEnd"/>
      <w:r>
        <w:t xml:space="preserve">  2600</w:t>
      </w:r>
    </w:p>
    <w:p w:rsidR="005F24F2" w:rsidRDefault="005F24F2" w:rsidP="005F24F2">
      <w:pPr>
        <w:pStyle w:val="PBOtext"/>
        <w:spacing w:after="0"/>
      </w:pPr>
      <w:r>
        <w:t>Phone: (02) 6277 9500</w:t>
      </w:r>
    </w:p>
    <w:p w:rsidR="00B55FD7" w:rsidRDefault="005F24F2" w:rsidP="005F24F2">
      <w:pPr>
        <w:pStyle w:val="PBOtext"/>
        <w:spacing w:before="0"/>
        <w:sectPr w:rsidR="00B55FD7" w:rsidSect="00C273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797" w:bottom="1440" w:left="1797" w:header="709" w:footer="709" w:gutter="0"/>
          <w:pgNumType w:start="1"/>
          <w:cols w:space="708"/>
          <w:titlePg/>
          <w:docGrid w:linePitch="326"/>
        </w:sectPr>
      </w:pPr>
      <w:proofErr w:type="spellStart"/>
      <w:r>
        <w:t>Email:pbo@pbo.gov.au</w:t>
      </w:r>
      <w:proofErr w:type="spellEnd"/>
    </w:p>
    <w:p w:rsidR="009530F3" w:rsidRDefault="00B55FD7" w:rsidP="00A33E71">
      <w:pPr>
        <w:pStyle w:val="PBOheading1"/>
      </w:pPr>
      <w:bookmarkStart w:id="0" w:name="_Toc369257315"/>
      <w:bookmarkStart w:id="1" w:name="_Toc369545985"/>
      <w:bookmarkStart w:id="2" w:name="_Toc369546275"/>
      <w:bookmarkStart w:id="3" w:name="_Toc369552767"/>
      <w:bookmarkStart w:id="4" w:name="_Toc369802231"/>
      <w:bookmarkStart w:id="5" w:name="_Toc369802447"/>
      <w:bookmarkStart w:id="6" w:name="_Toc369802909"/>
      <w:bookmarkStart w:id="7" w:name="_Toc369817138"/>
      <w:bookmarkStart w:id="8" w:name="_Toc369819840"/>
      <w: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00879" w:rsidRDefault="00731B83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C00879">
        <w:t>Statement by the Parliamentary Budget Officer</w:t>
      </w:r>
      <w:r w:rsidR="00C00879">
        <w:tab/>
      </w:r>
      <w:r w:rsidR="00C00879">
        <w:fldChar w:fldCharType="begin"/>
      </w:r>
      <w:r w:rsidR="00C00879">
        <w:instrText xml:space="preserve"> PAGEREF _Toc369819841 \h </w:instrText>
      </w:r>
      <w:r w:rsidR="00C00879">
        <w:fldChar w:fldCharType="separate"/>
      </w:r>
      <w:r w:rsidR="00925A24">
        <w:t>v</w:t>
      </w:r>
      <w:r w:rsidR="00C00879">
        <w:fldChar w:fldCharType="end"/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Section 1: Introduction</w:t>
      </w:r>
      <w:r>
        <w:tab/>
        <w:t>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Designated Parliamentary parties</w:t>
      </w:r>
      <w:r>
        <w:rPr>
          <w:noProof/>
        </w:rPr>
        <w:tab/>
        <w:t>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Basis for inclusion of election commitments in the report</w:t>
      </w:r>
      <w:r>
        <w:rPr>
          <w:noProof/>
        </w:rPr>
        <w:tab/>
        <w:t>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Basis for costings of election commitments</w:t>
      </w:r>
      <w:r>
        <w:rPr>
          <w:noProof/>
        </w:rPr>
        <w:tab/>
        <w:t>2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Financial impact of a party’s election commitments on Commonwealth budget estimates</w:t>
      </w:r>
      <w:r>
        <w:rPr>
          <w:noProof/>
        </w:rPr>
        <w:tab/>
        <w:t>2</w:t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Section 2: Overview of impacts of election commitments on the Commonwealth budget</w:t>
      </w:r>
      <w:r>
        <w:tab/>
        <w:t>3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Australian Labor Party (ALP)</w:t>
      </w:r>
      <w:r>
        <w:rPr>
          <w:noProof/>
        </w:rPr>
        <w:tab/>
        <w:t>3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Coalition</w:t>
      </w:r>
      <w:r w:rsidR="008B5960">
        <w:rPr>
          <w:noProof/>
        </w:rPr>
        <w:t xml:space="preserve"> ________________________________________________________________________</w:t>
      </w:r>
      <w:r>
        <w:rPr>
          <w:noProof/>
        </w:rPr>
        <w:tab/>
        <w:t>4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Australian Greens</w:t>
      </w:r>
      <w:r>
        <w:rPr>
          <w:noProof/>
        </w:rPr>
        <w:tab/>
        <w:t>6</w:t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Section 3: Australian Labor Party –  election commitments</w:t>
      </w:r>
      <w:r>
        <w:tab/>
        <w:t>7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Summary of the Australian Labor Party’s election commitments</w:t>
      </w:r>
      <w:r>
        <w:rPr>
          <w:noProof/>
        </w:rPr>
        <w:tab/>
        <w:t>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Major contributions to the budget impact</w:t>
      </w:r>
      <w:r>
        <w:rPr>
          <w:noProof/>
        </w:rPr>
        <w:tab/>
        <w:t>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Impacts on headline cash and net worth</w:t>
      </w:r>
      <w:r>
        <w:rPr>
          <w:noProof/>
        </w:rPr>
        <w:tab/>
        <w:t>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Longer term budget impacts</w:t>
      </w:r>
      <w:r>
        <w:rPr>
          <w:noProof/>
        </w:rPr>
        <w:tab/>
        <w:t>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Interaction of election commitments</w:t>
      </w:r>
      <w:r>
        <w:rPr>
          <w:noProof/>
        </w:rPr>
        <w:tab/>
        <w:t>8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Costing documentation</w:t>
      </w:r>
      <w:r>
        <w:rPr>
          <w:noProof/>
        </w:rPr>
        <w:tab/>
        <w:t>8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Matters taken into account by the Parliamentary Budget Officer</w:t>
      </w:r>
      <w:r>
        <w:rPr>
          <w:noProof/>
        </w:rPr>
        <w:tab/>
        <w:t>24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Parliamentary Budget Officer’s engagement with the  Australian Labor Party</w:t>
      </w:r>
      <w:r>
        <w:rPr>
          <w:noProof/>
        </w:rPr>
        <w:tab/>
        <w:t>24</w:t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Section 4: Coalition – election commitments</w:t>
      </w:r>
      <w:r>
        <w:tab/>
        <w:t>25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Summary of the Coalition’s election commitments</w:t>
      </w:r>
      <w:r>
        <w:rPr>
          <w:noProof/>
        </w:rPr>
        <w:tab/>
        <w:t>25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Major contributions to the budget impact</w:t>
      </w:r>
      <w:r>
        <w:rPr>
          <w:noProof/>
        </w:rPr>
        <w:tab/>
        <w:t>25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Variations from impacts announced by the Coalition</w:t>
      </w:r>
      <w:r>
        <w:rPr>
          <w:noProof/>
        </w:rPr>
        <w:tab/>
        <w:t>26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Interaction of election commitments</w:t>
      </w:r>
      <w:r>
        <w:rPr>
          <w:noProof/>
        </w:rPr>
        <w:tab/>
        <w:t>27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Impacts on headline cash and net worth</w:t>
      </w:r>
      <w:r>
        <w:rPr>
          <w:noProof/>
        </w:rPr>
        <w:tab/>
        <w:t>27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Longer term budget impacts</w:t>
      </w:r>
      <w:r>
        <w:rPr>
          <w:noProof/>
        </w:rPr>
        <w:tab/>
        <w:t>27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lastRenderedPageBreak/>
        <w:t>Costing documentation</w:t>
      </w:r>
      <w:r>
        <w:rPr>
          <w:noProof/>
        </w:rPr>
        <w:tab/>
        <w:t>28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Matters taken into account by the Parliamentary Budget Officer</w:t>
      </w:r>
      <w:r>
        <w:rPr>
          <w:noProof/>
        </w:rPr>
        <w:tab/>
        <w:t>45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Parliamentary Budget Officer’s engagement with the Coalition</w:t>
      </w:r>
      <w:r>
        <w:rPr>
          <w:noProof/>
        </w:rPr>
        <w:tab/>
        <w:t>45</w:t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Section 5: Australian Greens –  election commitments</w:t>
      </w:r>
      <w:r>
        <w:tab/>
        <w:t>47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Summary of election commitments of the Australian Greens</w:t>
      </w:r>
      <w:r>
        <w:rPr>
          <w:noProof/>
        </w:rPr>
        <w:tab/>
        <w:t>47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Major contributions to the budget impact</w:t>
      </w:r>
      <w:r>
        <w:rPr>
          <w:noProof/>
        </w:rPr>
        <w:tab/>
        <w:t>47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Interactions of election commitments</w:t>
      </w:r>
      <w:r>
        <w:rPr>
          <w:noProof/>
        </w:rPr>
        <w:tab/>
        <w:t>47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Impacts on headline cash</w:t>
      </w:r>
      <w:r>
        <w:rPr>
          <w:noProof/>
        </w:rPr>
        <w:tab/>
        <w:t>48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Longer term budget impacts</w:t>
      </w:r>
      <w:r>
        <w:rPr>
          <w:noProof/>
        </w:rPr>
        <w:tab/>
        <w:t>48</w:t>
      </w:r>
    </w:p>
    <w:p w:rsidR="00C00879" w:rsidRDefault="00C00879" w:rsidP="00C00879">
      <w:pPr>
        <w:pStyle w:val="TOC3"/>
        <w:tabs>
          <w:tab w:val="right" w:leader="underscore" w:pos="829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Costing documentation</w:t>
      </w:r>
      <w:r>
        <w:rPr>
          <w:noProof/>
        </w:rPr>
        <w:tab/>
        <w:t>48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Matters taken into account by the Parliamentary Budget Officer</w:t>
      </w:r>
      <w:r>
        <w:rPr>
          <w:noProof/>
        </w:rPr>
        <w:tab/>
        <w:t>56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Parliamentary Budget Officer’s engagement with the  Australian Greens</w:t>
      </w:r>
      <w:r>
        <w:rPr>
          <w:noProof/>
        </w:rPr>
        <w:tab/>
        <w:t>56</w:t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Glossary</w:t>
      </w:r>
      <w:r>
        <w:tab/>
        <w:t>57</w:t>
      </w:r>
    </w:p>
    <w:p w:rsidR="00C00879" w:rsidRDefault="00C00879" w:rsidP="00C00879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Attachments</w:t>
      </w:r>
      <w:r>
        <w:tab/>
        <w:t>59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A:</w:t>
      </w:r>
      <w:r>
        <w:rPr>
          <w:noProof/>
        </w:rPr>
        <w:tab/>
        <w:t>Process for consultation with the designated Parliamentary parties</w:t>
      </w:r>
      <w:r>
        <w:rPr>
          <w:noProof/>
        </w:rPr>
        <w:tab/>
        <w:t>59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B:</w:t>
      </w:r>
      <w:r>
        <w:rPr>
          <w:noProof/>
        </w:rPr>
        <w:tab/>
        <w:t>Costing documentation for ALP election commitments</w:t>
      </w:r>
      <w:r>
        <w:rPr>
          <w:noProof/>
        </w:rPr>
        <w:tab/>
        <w:t>61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C:</w:t>
      </w:r>
      <w:r>
        <w:rPr>
          <w:noProof/>
        </w:rPr>
        <w:tab/>
        <w:t>ALP list of election commitments provided to the PBO</w:t>
      </w:r>
      <w:r>
        <w:rPr>
          <w:noProof/>
        </w:rPr>
        <w:tab/>
        <w:t>95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D:</w:t>
      </w:r>
      <w:r>
        <w:rPr>
          <w:noProof/>
        </w:rPr>
        <w:tab/>
        <w:t>PBO list of election commitments provided to the ALP</w:t>
      </w:r>
      <w:r>
        <w:rPr>
          <w:noProof/>
        </w:rPr>
        <w:tab/>
        <w:t>100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E:</w:t>
      </w:r>
      <w:r>
        <w:rPr>
          <w:noProof/>
        </w:rPr>
        <w:tab/>
        <w:t>Costing documentation for Coalition election commitments</w:t>
      </w:r>
      <w:r>
        <w:rPr>
          <w:noProof/>
        </w:rPr>
        <w:tab/>
        <w:t>106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F:</w:t>
      </w:r>
      <w:r>
        <w:rPr>
          <w:noProof/>
        </w:rPr>
        <w:tab/>
        <w:t>Coalition list of election commitments provided to the PBO</w:t>
      </w:r>
      <w:r>
        <w:rPr>
          <w:noProof/>
        </w:rPr>
        <w:tab/>
        <w:t>221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G:</w:t>
      </w:r>
      <w:r>
        <w:rPr>
          <w:noProof/>
        </w:rPr>
        <w:tab/>
        <w:t>PBO list of election commitments provided to the Coalition</w:t>
      </w:r>
      <w:r>
        <w:rPr>
          <w:noProof/>
        </w:rPr>
        <w:tab/>
        <w:t>231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H:</w:t>
      </w:r>
      <w:r>
        <w:rPr>
          <w:noProof/>
        </w:rPr>
        <w:tab/>
        <w:t>Costing documentation for Australian Greens’ election commitments</w:t>
      </w:r>
      <w:r>
        <w:rPr>
          <w:noProof/>
        </w:rPr>
        <w:tab/>
        <w:t>241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I:</w:t>
      </w:r>
      <w:r>
        <w:rPr>
          <w:noProof/>
        </w:rPr>
        <w:tab/>
        <w:t>Australian Greens’ list of election commitments provided to the PBO</w:t>
      </w:r>
      <w:r>
        <w:rPr>
          <w:noProof/>
        </w:rPr>
        <w:tab/>
        <w:t>42</w:t>
      </w:r>
      <w:r w:rsidR="00722CE0">
        <w:rPr>
          <w:noProof/>
        </w:rPr>
        <w:t>4</w:t>
      </w:r>
    </w:p>
    <w:p w:rsidR="00C00879" w:rsidRDefault="00C00879" w:rsidP="00C00879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Attachment J:</w:t>
      </w:r>
      <w:r>
        <w:rPr>
          <w:noProof/>
        </w:rPr>
        <w:tab/>
        <w:t>PBO list of election commitments provided to the Australian Gr</w:t>
      </w:r>
      <w:r w:rsidR="00722CE0">
        <w:rPr>
          <w:noProof/>
        </w:rPr>
        <w:t>eens</w:t>
      </w:r>
      <w:r w:rsidR="00722CE0">
        <w:rPr>
          <w:noProof/>
        </w:rPr>
        <w:tab/>
        <w:t>427</w:t>
      </w:r>
    </w:p>
    <w:p w:rsidR="00600B0D" w:rsidRPr="00600B0D" w:rsidRDefault="00731B83" w:rsidP="00C00879">
      <w:pPr>
        <w:pStyle w:val="TOC2"/>
        <w:spacing w:line="360" w:lineRule="auto"/>
      </w:pPr>
      <w:r>
        <w:fldChar w:fldCharType="end"/>
      </w:r>
    </w:p>
    <w:p w:rsidR="00B55FD7" w:rsidRDefault="00B55FD7" w:rsidP="00B55FD7">
      <w:pPr>
        <w:pStyle w:val="PBOtext"/>
        <w:sectPr w:rsidR="00B55FD7" w:rsidSect="00B55FD7">
          <w:headerReference w:type="even" r:id="rId16"/>
          <w:headerReference w:type="default" r:id="rId17"/>
          <w:footerReference w:type="even" r:id="rId18"/>
          <w:headerReference w:type="first" r:id="rId19"/>
          <w:footerReference w:type="first" r:id="rId20"/>
          <w:pgSz w:w="11900" w:h="16840"/>
          <w:pgMar w:top="1440" w:right="1797" w:bottom="1440" w:left="1797" w:header="709" w:footer="709" w:gutter="0"/>
          <w:pgNumType w:fmt="lowerRoman" w:start="3"/>
          <w:cols w:space="708"/>
          <w:titlePg/>
          <w:docGrid w:linePitch="326"/>
        </w:sectPr>
      </w:pPr>
    </w:p>
    <w:p w:rsidR="00B55FD7" w:rsidRDefault="00B55FD7" w:rsidP="00B55FD7">
      <w:pPr>
        <w:pStyle w:val="PBOheading1"/>
      </w:pPr>
      <w:bookmarkStart w:id="9" w:name="_Toc369545986"/>
      <w:bookmarkStart w:id="10" w:name="_Toc369802448"/>
      <w:bookmarkStart w:id="11" w:name="_Toc369819841"/>
      <w:r>
        <w:lastRenderedPageBreak/>
        <w:t>Statement by the Parliamentary Budget Officer</w:t>
      </w:r>
      <w:bookmarkEnd w:id="9"/>
      <w:bookmarkEnd w:id="10"/>
      <w:bookmarkEnd w:id="11"/>
    </w:p>
    <w:p w:rsidR="006C21C3" w:rsidRPr="00252D6C" w:rsidRDefault="006C21C3" w:rsidP="006C21C3">
      <w:pPr>
        <w:pStyle w:val="PBOtext"/>
      </w:pPr>
      <w:r>
        <w:t xml:space="preserve">Consistent with the requirements of the </w:t>
      </w:r>
      <w:r w:rsidRPr="006C21C3">
        <w:rPr>
          <w:i/>
        </w:rPr>
        <w:t>Parliamentary Service Act 1999</w:t>
      </w:r>
      <w:r>
        <w:t xml:space="preserve">, I declare that, to the fullest </w:t>
      </w:r>
      <w:r w:rsidRPr="00252D6C">
        <w:t>extent possib</w:t>
      </w:r>
      <w:r w:rsidR="00FE3F68" w:rsidRPr="00252D6C">
        <w:t xml:space="preserve">le, the information in the </w:t>
      </w:r>
      <w:r w:rsidR="00BA7462" w:rsidRPr="00252D6C">
        <w:t>p</w:t>
      </w:r>
      <w:r w:rsidR="00252D6C" w:rsidRPr="00252D6C">
        <w:t>ost-</w:t>
      </w:r>
      <w:r w:rsidR="00BA7462" w:rsidRPr="00252D6C">
        <w:t>e</w:t>
      </w:r>
      <w:r w:rsidRPr="00252D6C">
        <w:t xml:space="preserve">lection </w:t>
      </w:r>
      <w:r w:rsidR="00BA7462" w:rsidRPr="00252D6C">
        <w:t>r</w:t>
      </w:r>
      <w:r w:rsidRPr="00252D6C">
        <w:t xml:space="preserve">eport of </w:t>
      </w:r>
      <w:r w:rsidR="00BA7462" w:rsidRPr="00252D6C">
        <w:t>e</w:t>
      </w:r>
      <w:r w:rsidRPr="00252D6C">
        <w:t>l</w:t>
      </w:r>
      <w:r w:rsidR="00DE67C7" w:rsidRPr="00252D6C">
        <w:t xml:space="preserve">ection </w:t>
      </w:r>
      <w:r w:rsidR="00BA7462" w:rsidRPr="00252D6C">
        <w:t>c</w:t>
      </w:r>
      <w:r w:rsidR="00DE67C7" w:rsidRPr="00252D6C">
        <w:t>ommitments for the 2013 </w:t>
      </w:r>
      <w:r w:rsidR="00BA7462" w:rsidRPr="00252D6C">
        <w:t>g</w:t>
      </w:r>
      <w:r w:rsidRPr="00252D6C">
        <w:t xml:space="preserve">eneral </w:t>
      </w:r>
      <w:r w:rsidR="00BA7462" w:rsidRPr="00252D6C">
        <w:t>e</w:t>
      </w:r>
      <w:r w:rsidRPr="00252D6C">
        <w:t>lect</w:t>
      </w:r>
      <w:r w:rsidR="00924112" w:rsidRPr="00252D6C">
        <w:t>ion for which I am responsible:</w:t>
      </w:r>
    </w:p>
    <w:p w:rsidR="006C21C3" w:rsidRDefault="006C21C3" w:rsidP="006C21C3">
      <w:pPr>
        <w:pStyle w:val="PBOtext"/>
        <w:numPr>
          <w:ilvl w:val="0"/>
          <w:numId w:val="19"/>
        </w:numPr>
        <w:ind w:left="284" w:hanging="284"/>
      </w:pPr>
      <w:r w:rsidRPr="00252D6C">
        <w:t>uses the Pre</w:t>
      </w:r>
      <w:r w:rsidR="000B79B4">
        <w:t>-</w:t>
      </w:r>
      <w:r w:rsidRPr="00252D6C">
        <w:t>Election Economic and Fiscal Outlook 2013 report</w:t>
      </w:r>
      <w:r w:rsidR="001A3F6C" w:rsidRPr="00252D6C">
        <w:t xml:space="preserve"> </w:t>
      </w:r>
      <w:r w:rsidRPr="00252D6C">
        <w:t xml:space="preserve">as </w:t>
      </w:r>
      <w:r w:rsidR="004D3C0A" w:rsidRPr="00252D6C">
        <w:t>the</w:t>
      </w:r>
      <w:r w:rsidRPr="00252D6C">
        <w:t xml:space="preserve"> baseline for the costings of</w:t>
      </w:r>
      <w:r>
        <w:t xml:space="preserve"> election commi</w:t>
      </w:r>
      <w:r w:rsidR="00A72D5A">
        <w:t>tments included in this report;</w:t>
      </w:r>
      <w:bookmarkStart w:id="12" w:name="_GoBack"/>
      <w:bookmarkEnd w:id="12"/>
    </w:p>
    <w:p w:rsidR="005E3F76" w:rsidRDefault="006C21C3" w:rsidP="006C21C3">
      <w:pPr>
        <w:pStyle w:val="PBOtext"/>
        <w:numPr>
          <w:ilvl w:val="0"/>
          <w:numId w:val="19"/>
        </w:numPr>
        <w:ind w:left="284" w:hanging="284"/>
      </w:pPr>
      <w:r>
        <w:t xml:space="preserve">incorporates costings of </w:t>
      </w:r>
      <w:r w:rsidRPr="00E461C4">
        <w:t>all</w:t>
      </w:r>
      <w:r>
        <w:t xml:space="preserve"> the election commitments of each designated Parliamentary part</w:t>
      </w:r>
      <w:r w:rsidR="004D3C0A">
        <w:t>y</w:t>
      </w:r>
      <w:r>
        <w:t xml:space="preserve"> that</w:t>
      </w:r>
      <w:r w:rsidR="004D3C0A">
        <w:t>,</w:t>
      </w:r>
      <w:r>
        <w:t xml:space="preserve"> in my best professional judgement, would have a material impact on the Commonwealth budget estimates for the current financial year and the following three financial years</w:t>
      </w:r>
      <w:r w:rsidR="004D3C0A">
        <w:t>; and</w:t>
      </w:r>
    </w:p>
    <w:p w:rsidR="004D3C0A" w:rsidRPr="006C21C3" w:rsidRDefault="004D3C0A" w:rsidP="006C21C3">
      <w:pPr>
        <w:pStyle w:val="PBOtext"/>
        <w:numPr>
          <w:ilvl w:val="0"/>
          <w:numId w:val="19"/>
        </w:numPr>
        <w:ind w:left="284" w:hanging="284"/>
      </w:pPr>
      <w:r>
        <w:t>shows for each designated Parliamentary party, the total combined impact those election commitments would have on the Commonwealth budget estimates for the current and the following three financial years.</w:t>
      </w:r>
    </w:p>
    <w:p w:rsidR="005E3F76" w:rsidRDefault="005E3F76" w:rsidP="00EA16E0">
      <w:pPr>
        <w:pStyle w:val="PBOtext"/>
        <w:spacing w:before="960" w:after="0"/>
      </w:pPr>
      <w:r>
        <w:t>Phil Bowen PSM FCPA</w:t>
      </w:r>
    </w:p>
    <w:p w:rsidR="005E3F76" w:rsidRDefault="005E3F76" w:rsidP="00EA16E0">
      <w:pPr>
        <w:pStyle w:val="PBOtext"/>
        <w:spacing w:before="0" w:after="0"/>
      </w:pPr>
      <w:r>
        <w:t>Parliamentary Budget Officer</w:t>
      </w:r>
    </w:p>
    <w:p w:rsidR="00A244EC" w:rsidRDefault="005E3F76" w:rsidP="00EA16E0">
      <w:pPr>
        <w:pStyle w:val="PBOtext"/>
        <w:spacing w:after="0"/>
      </w:pPr>
      <w:r>
        <w:t>1</w:t>
      </w:r>
      <w:r w:rsidR="006C21C3">
        <w:t>8</w:t>
      </w:r>
      <w:r>
        <w:t xml:space="preserve"> October 2013</w:t>
      </w:r>
    </w:p>
    <w:sectPr w:rsidR="00A244EC" w:rsidSect="006C703A">
      <w:footerReference w:type="even" r:id="rId21"/>
      <w:pgSz w:w="11900" w:h="16840"/>
      <w:pgMar w:top="1440" w:right="1797" w:bottom="1440" w:left="1797" w:header="709" w:footer="709" w:gutter="0"/>
      <w:pgNumType w:fmt="lowerRoman" w:start="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4E" w:rsidRDefault="009A144E">
      <w:pPr>
        <w:spacing w:before="0" w:after="0"/>
      </w:pPr>
      <w:r>
        <w:separator/>
      </w:r>
    </w:p>
  </w:endnote>
  <w:endnote w:type="continuationSeparator" w:id="0">
    <w:p w:rsidR="009A144E" w:rsidRDefault="009A14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95" w:rsidRDefault="00107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97" w:rsidRPr="001D5160" w:rsidRDefault="00414E5B" w:rsidP="00FC4271">
    <w:pPr>
      <w:pStyle w:val="Oddpage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3C37A" wp14:editId="085EF21F">
              <wp:simplePos x="0" y="0"/>
              <wp:positionH relativeFrom="column">
                <wp:posOffset>4901565</wp:posOffset>
              </wp:positionH>
              <wp:positionV relativeFrom="paragraph">
                <wp:posOffset>-25400</wp:posOffset>
              </wp:positionV>
              <wp:extent cx="0" cy="355600"/>
              <wp:effectExtent l="5715" t="12700" r="13335" b="127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5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5pt,-2pt" to="385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" strokecolor="#4a7ebb">
              <v:shadow opacity="22938f" offset="0"/>
            </v:line>
          </w:pict>
        </mc:Fallback>
      </mc:AlternateContent>
    </w:r>
    <w:r w:rsidR="00A72D5A">
      <w:fldChar w:fldCharType="begin"/>
    </w:r>
    <w:r w:rsidR="00A72D5A">
      <w:instrText xml:space="preserve"> TITLE  \* FirstCap  \* MERGEFORMAT </w:instrText>
    </w:r>
    <w:r w:rsidR="00A72D5A">
      <w:fldChar w:fldCharType="separate"/>
    </w:r>
    <w:r w:rsidR="00925A24">
      <w:t>Parliamentary Budget Office template</w:t>
    </w:r>
    <w:r w:rsidR="00A72D5A">
      <w:fldChar w:fldCharType="end"/>
    </w:r>
    <w:r w:rsidR="00FC4271">
      <w:tab/>
    </w:r>
    <w:r w:rsidR="00FC4271">
      <w:tab/>
    </w:r>
    <w:r w:rsidR="009530F3">
      <w:fldChar w:fldCharType="begin"/>
    </w:r>
    <w:r w:rsidR="009530F3">
      <w:instrText xml:space="preserve"> PAGE  \* Arabic  \* MERGEFORMAT </w:instrText>
    </w:r>
    <w:r w:rsidR="009530F3">
      <w:fldChar w:fldCharType="separate"/>
    </w:r>
    <w:r w:rsidR="00792507">
      <w:rPr>
        <w:noProof/>
      </w:rPr>
      <w:t>3</w:t>
    </w:r>
    <w:r w:rsidR="009530F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95" w:rsidRDefault="00107C9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95" w:rsidRPr="007E005D" w:rsidRDefault="00107C95" w:rsidP="00107C95">
    <w:pPr>
      <w:framePr w:wrap="around" w:vAnchor="text" w:hAnchor="margin" w:xAlign="center" w:y="1"/>
    </w:pPr>
    <w:r w:rsidRPr="007E005D">
      <w:fldChar w:fldCharType="begin"/>
    </w:r>
    <w:r w:rsidRPr="007E005D">
      <w:instrText xml:space="preserve">PAGE  </w:instrText>
    </w:r>
    <w:r w:rsidRPr="007E005D">
      <w:fldChar w:fldCharType="separate"/>
    </w:r>
    <w:r w:rsidR="00A72D5A">
      <w:rPr>
        <w:noProof/>
      </w:rPr>
      <w:t>iv</w:t>
    </w:r>
    <w:r w:rsidRPr="007E005D">
      <w:fldChar w:fldCharType="end"/>
    </w:r>
  </w:p>
  <w:p w:rsidR="00F379B5" w:rsidRPr="00107C95" w:rsidRDefault="00F379B5" w:rsidP="00107C9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Pr="007E005D" w:rsidRDefault="00B55FD7" w:rsidP="00B55FD7">
    <w:pPr>
      <w:framePr w:wrap="around" w:vAnchor="text" w:hAnchor="margin" w:xAlign="center" w:y="1"/>
    </w:pPr>
    <w:r w:rsidRPr="007E005D">
      <w:fldChar w:fldCharType="begin"/>
    </w:r>
    <w:r w:rsidRPr="007E005D">
      <w:instrText xml:space="preserve">PAGE  </w:instrText>
    </w:r>
    <w:r w:rsidRPr="007E005D">
      <w:fldChar w:fldCharType="separate"/>
    </w:r>
    <w:r w:rsidR="00A72D5A">
      <w:rPr>
        <w:noProof/>
      </w:rPr>
      <w:t>iii</w:t>
    </w:r>
    <w:r w:rsidRPr="007E005D">
      <w:fldChar w:fldCharType="end"/>
    </w:r>
  </w:p>
  <w:p w:rsidR="00B55FD7" w:rsidRDefault="00B55FD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88" w:rsidRPr="007D3D88" w:rsidRDefault="007D3D88" w:rsidP="007D3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4E" w:rsidRDefault="009A144E">
      <w:pPr>
        <w:spacing w:before="0" w:after="0"/>
      </w:pPr>
      <w:r>
        <w:separator/>
      </w:r>
    </w:p>
  </w:footnote>
  <w:footnote w:type="continuationSeparator" w:id="0">
    <w:p w:rsidR="009A144E" w:rsidRDefault="009A14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95" w:rsidRDefault="00107C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95" w:rsidRDefault="00107C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F3" w:rsidRDefault="009530F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Default="00B55FD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Default="00B55FD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Default="00B55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D67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C4A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CD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881CA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>
    <w:nsid w:val="FFFFFF80"/>
    <w:multiLevelType w:val="singleLevel"/>
    <w:tmpl w:val="17C8C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DCE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125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A280A"/>
    <w:lvl w:ilvl="0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224A76"/>
      </w:rPr>
    </w:lvl>
  </w:abstractNum>
  <w:abstractNum w:abstractNumId="8">
    <w:nsid w:val="FFFFFF88"/>
    <w:multiLevelType w:val="singleLevel"/>
    <w:tmpl w:val="C3320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86C3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24A76"/>
      </w:rPr>
    </w:lvl>
  </w:abstractNum>
  <w:abstractNum w:abstractNumId="10">
    <w:nsid w:val="15173C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FA08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2607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C72F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DA6887"/>
    <w:multiLevelType w:val="hybridMultilevel"/>
    <w:tmpl w:val="40206B18"/>
    <w:lvl w:ilvl="0" w:tplc="66C89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D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E601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F80CA5"/>
    <w:multiLevelType w:val="hybridMultilevel"/>
    <w:tmpl w:val="8BF47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F31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883C55"/>
    <w:multiLevelType w:val="hybridMultilevel"/>
    <w:tmpl w:val="CE308E32"/>
    <w:lvl w:ilvl="0" w:tplc="4B208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30DF6"/>
    <w:multiLevelType w:val="hybridMultilevel"/>
    <w:tmpl w:val="7A0EE92E"/>
    <w:lvl w:ilvl="0" w:tplc="55AAB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B5F4B"/>
    <w:multiLevelType w:val="hybridMultilevel"/>
    <w:tmpl w:val="22E4F41C"/>
    <w:lvl w:ilvl="0" w:tplc="66C89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2"/>
  </w:num>
  <w:num w:numId="17">
    <w:abstractNumId w:val="13"/>
  </w:num>
  <w:num w:numId="18">
    <w:abstractNumId w:val="17"/>
  </w:num>
  <w:num w:numId="19">
    <w:abstractNumId w:val="14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>
      <o:colormru v:ext="edit" colors="#c6d3e3,#d7d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5B"/>
    <w:rsid w:val="000B79B4"/>
    <w:rsid w:val="000D026C"/>
    <w:rsid w:val="000F2CC4"/>
    <w:rsid w:val="00107C95"/>
    <w:rsid w:val="00142603"/>
    <w:rsid w:val="00153F1A"/>
    <w:rsid w:val="0016655C"/>
    <w:rsid w:val="001667B1"/>
    <w:rsid w:val="001A3F6C"/>
    <w:rsid w:val="001A409F"/>
    <w:rsid w:val="00233097"/>
    <w:rsid w:val="00252D6C"/>
    <w:rsid w:val="002A3DC5"/>
    <w:rsid w:val="002D2904"/>
    <w:rsid w:val="002D6199"/>
    <w:rsid w:val="002E10B9"/>
    <w:rsid w:val="00327466"/>
    <w:rsid w:val="00344E59"/>
    <w:rsid w:val="0037632A"/>
    <w:rsid w:val="00382474"/>
    <w:rsid w:val="003826E4"/>
    <w:rsid w:val="003F45DE"/>
    <w:rsid w:val="003F634E"/>
    <w:rsid w:val="00414E5B"/>
    <w:rsid w:val="0041606A"/>
    <w:rsid w:val="00425394"/>
    <w:rsid w:val="004D3C0A"/>
    <w:rsid w:val="00564E16"/>
    <w:rsid w:val="005E1329"/>
    <w:rsid w:val="005E3D7A"/>
    <w:rsid w:val="005E3F76"/>
    <w:rsid w:val="005F24F2"/>
    <w:rsid w:val="00600B0D"/>
    <w:rsid w:val="0067363B"/>
    <w:rsid w:val="0069045C"/>
    <w:rsid w:val="006C21C3"/>
    <w:rsid w:val="006C703A"/>
    <w:rsid w:val="006E66A3"/>
    <w:rsid w:val="00722CE0"/>
    <w:rsid w:val="00731B83"/>
    <w:rsid w:val="0075400C"/>
    <w:rsid w:val="00792507"/>
    <w:rsid w:val="007D3D88"/>
    <w:rsid w:val="007F6BF9"/>
    <w:rsid w:val="008116F6"/>
    <w:rsid w:val="0086285C"/>
    <w:rsid w:val="00872117"/>
    <w:rsid w:val="008B5960"/>
    <w:rsid w:val="008C687F"/>
    <w:rsid w:val="008E74C2"/>
    <w:rsid w:val="00924112"/>
    <w:rsid w:val="00925A24"/>
    <w:rsid w:val="009530F3"/>
    <w:rsid w:val="00963EAA"/>
    <w:rsid w:val="009A144E"/>
    <w:rsid w:val="009C4DAA"/>
    <w:rsid w:val="009C600F"/>
    <w:rsid w:val="00A138DA"/>
    <w:rsid w:val="00A244EC"/>
    <w:rsid w:val="00A33E71"/>
    <w:rsid w:val="00A4093F"/>
    <w:rsid w:val="00A53E5C"/>
    <w:rsid w:val="00A72D5A"/>
    <w:rsid w:val="00A773FE"/>
    <w:rsid w:val="00AD4FF5"/>
    <w:rsid w:val="00AF3864"/>
    <w:rsid w:val="00AF52FE"/>
    <w:rsid w:val="00B5382C"/>
    <w:rsid w:val="00B55FD7"/>
    <w:rsid w:val="00B771B1"/>
    <w:rsid w:val="00B81959"/>
    <w:rsid w:val="00BA7462"/>
    <w:rsid w:val="00BE3969"/>
    <w:rsid w:val="00C00879"/>
    <w:rsid w:val="00C27399"/>
    <w:rsid w:val="00C63704"/>
    <w:rsid w:val="00C87040"/>
    <w:rsid w:val="00C9613F"/>
    <w:rsid w:val="00CD0D0C"/>
    <w:rsid w:val="00CD21A6"/>
    <w:rsid w:val="00CE4AB5"/>
    <w:rsid w:val="00CE6702"/>
    <w:rsid w:val="00D11733"/>
    <w:rsid w:val="00D64ABB"/>
    <w:rsid w:val="00DE67C7"/>
    <w:rsid w:val="00E461C4"/>
    <w:rsid w:val="00E74B13"/>
    <w:rsid w:val="00E87E51"/>
    <w:rsid w:val="00E976A2"/>
    <w:rsid w:val="00EA16E0"/>
    <w:rsid w:val="00EB440D"/>
    <w:rsid w:val="00EB564B"/>
    <w:rsid w:val="00EC02D4"/>
    <w:rsid w:val="00EC5A51"/>
    <w:rsid w:val="00F11E87"/>
    <w:rsid w:val="00F379B5"/>
    <w:rsid w:val="00F742DF"/>
    <w:rsid w:val="00FC4271"/>
    <w:rsid w:val="00FE3F68"/>
    <w:rsid w:val="00FF1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ru v:ext="edit" colors="#c6d3e3,#d7dce4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uiPriority="5"/>
    <w:lsdException w:name="annotation text" w:semiHidden="1" w:unhideWhenUsed="1"/>
    <w:lsdException w:name="footer" w:qFormat="1"/>
    <w:lsdException w:name="index heading" w:locked="1" w:semiHidden="1" w:unhideWhenUsed="1"/>
    <w:lsdException w:name="caption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Strong" w:qFormat="1"/>
    <w:lsdException w:name="Emphasis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Emphasis" w:qFormat="1"/>
    <w:lsdException w:name="Intense Emphasis" w:qFormat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semiHidden/>
    <w:unhideWhenUsed/>
    <w:qFormat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locked/>
    <w:rsid w:val="00A33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locked/>
    <w:rsid w:val="00A33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locked/>
    <w:rsid w:val="002D6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BOtables">
    <w:name w:val="PBO tables"/>
    <w:basedOn w:val="TableNormal"/>
    <w:qFormat/>
    <w:rsid w:val="007A74D9"/>
    <w:tblPr>
      <w:tblStyleRowBandSize w:val="1"/>
    </w:tblPr>
    <w:tcPr>
      <w:vAlign w:val="center"/>
    </w:tcPr>
    <w:tblStylePr w:type="firstRow">
      <w:pPr>
        <w:jc w:val="center"/>
      </w:pPr>
      <w:rPr>
        <w:rFonts w:ascii="Symbol" w:hAnsi="Symbol"/>
        <w:b/>
        <w:color w:val="FFFFFF"/>
        <w:sz w:val="19"/>
      </w:rPr>
      <w:tblPr/>
      <w:tcPr>
        <w:tcBorders>
          <w:insideV w:val="nil"/>
        </w:tcBorders>
        <w:shd w:val="clear" w:color="auto" w:fill="264A76"/>
        <w:vAlign w:val="center"/>
      </w:tcPr>
    </w:tblStylePr>
    <w:tblStylePr w:type="firstCol">
      <w:pPr>
        <w:jc w:val="left"/>
      </w:pPr>
      <w:rPr>
        <w:rFonts w:ascii="Symbol" w:hAnsi="Symbol"/>
        <w:b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D7DCE4"/>
        <w:vAlign w:val="center"/>
      </w:tcPr>
    </w:tblStylePr>
    <w:tblStylePr w:type="band2Horz">
      <w:pPr>
        <w:jc w:val="center"/>
      </w:pPr>
      <w:rPr>
        <w:rFonts w:ascii="Symbol" w:hAnsi="Symbol"/>
        <w:sz w:val="20"/>
      </w:rPr>
      <w:tblPr/>
      <w:tcPr>
        <w:shd w:val="clear" w:color="auto" w:fill="FFFFFF"/>
        <w:vAlign w:val="center"/>
      </w:tcPr>
    </w:tblStylePr>
  </w:style>
  <w:style w:type="paragraph" w:customStyle="1" w:styleId="PBOtext">
    <w:name w:val="PBO text"/>
    <w:basedOn w:val="Normal"/>
    <w:qFormat/>
    <w:rsid w:val="00872117"/>
    <w:pPr>
      <w:spacing w:line="288" w:lineRule="auto"/>
    </w:pPr>
  </w:style>
  <w:style w:type="paragraph" w:customStyle="1" w:styleId="PBObullet">
    <w:name w:val="PBO bullet"/>
    <w:basedOn w:val="PBOtext"/>
    <w:qFormat/>
    <w:rsid w:val="00207C1F"/>
    <w:pPr>
      <w:ind w:left="284" w:hanging="284"/>
    </w:pPr>
  </w:style>
  <w:style w:type="paragraph" w:customStyle="1" w:styleId="PBOheading1">
    <w:name w:val="PBO heading 1"/>
    <w:basedOn w:val="Heading1"/>
    <w:uiPriority w:val="1"/>
    <w:qFormat/>
    <w:rsid w:val="00A33E71"/>
    <w:pPr>
      <w:spacing w:before="680" w:after="480"/>
    </w:pPr>
    <w:rPr>
      <w:rFonts w:ascii="Georgia" w:hAnsi="Georgia"/>
      <w:b w:val="0"/>
      <w:color w:val="264A76"/>
      <w:sz w:val="36"/>
      <w:szCs w:val="24"/>
      <w:lang w:eastAsia="en-US"/>
    </w:rPr>
  </w:style>
  <w:style w:type="paragraph" w:customStyle="1" w:styleId="PBOheading2">
    <w:name w:val="PBO heading 2"/>
    <w:basedOn w:val="Heading2"/>
    <w:uiPriority w:val="1"/>
    <w:qFormat/>
    <w:rsid w:val="00564E16"/>
    <w:pPr>
      <w:spacing w:before="320" w:after="170" w:line="288" w:lineRule="auto"/>
    </w:pPr>
    <w:rPr>
      <w:rFonts w:ascii="Georgia" w:hAnsi="Georgia"/>
      <w:b w:val="0"/>
      <w:color w:val="264A76"/>
      <w:sz w:val="28"/>
    </w:rPr>
  </w:style>
  <w:style w:type="paragraph" w:customStyle="1" w:styleId="PBOfiguretableheading">
    <w:name w:val="PBO figure/table heading"/>
    <w:uiPriority w:val="2"/>
    <w:qFormat/>
    <w:rsid w:val="00B206A8"/>
    <w:pPr>
      <w:spacing w:before="200" w:after="113" w:line="288" w:lineRule="auto"/>
    </w:pPr>
    <w:rPr>
      <w:b/>
      <w:i/>
      <w:color w:val="264A76"/>
      <w:szCs w:val="24"/>
      <w:lang w:eastAsia="en-US"/>
    </w:rPr>
  </w:style>
  <w:style w:type="paragraph" w:customStyle="1" w:styleId="PBOheading3">
    <w:name w:val="PBO heading 3"/>
    <w:basedOn w:val="Heading3"/>
    <w:uiPriority w:val="1"/>
    <w:qFormat/>
    <w:rsid w:val="00564E16"/>
    <w:pPr>
      <w:spacing w:after="200"/>
    </w:pPr>
    <w:rPr>
      <w:rFonts w:ascii="Calibri" w:hAnsi="Calibri"/>
      <w:color w:val="auto"/>
      <w:sz w:val="22"/>
      <w:szCs w:val="24"/>
      <w:lang w:eastAsia="en-US"/>
    </w:rPr>
  </w:style>
  <w:style w:type="paragraph" w:styleId="Title">
    <w:name w:val="Title"/>
    <w:basedOn w:val="Normal"/>
    <w:next w:val="Subtitle"/>
    <w:link w:val="TitleChar"/>
    <w:qFormat/>
    <w:rsid w:val="0075400C"/>
    <w:pPr>
      <w:spacing w:before="4300"/>
      <w:jc w:val="right"/>
    </w:pPr>
    <w:rPr>
      <w:rFonts w:ascii="Georgia" w:hAnsi="Georgia"/>
      <w:color w:val="264A76"/>
      <w:sz w:val="50"/>
    </w:rPr>
  </w:style>
  <w:style w:type="character" w:customStyle="1" w:styleId="TitleChar">
    <w:name w:val="Title Char"/>
    <w:link w:val="Title"/>
    <w:rsid w:val="00CD21A6"/>
    <w:rPr>
      <w:rFonts w:ascii="Georgia" w:hAnsi="Georgia"/>
      <w:color w:val="264A76"/>
      <w:sz w:val="50"/>
    </w:rPr>
  </w:style>
  <w:style w:type="paragraph" w:styleId="Subtitle">
    <w:name w:val="Subtitle"/>
    <w:basedOn w:val="Normal"/>
    <w:next w:val="Normal"/>
    <w:link w:val="SubtitleChar"/>
    <w:uiPriority w:val="2"/>
    <w:qFormat/>
    <w:rsid w:val="002D2904"/>
    <w:pPr>
      <w:jc w:val="right"/>
    </w:pPr>
    <w:rPr>
      <w:rFonts w:ascii="Georgia" w:hAnsi="Georgia"/>
      <w:color w:val="808080"/>
      <w:sz w:val="50"/>
    </w:rPr>
  </w:style>
  <w:style w:type="character" w:customStyle="1" w:styleId="SubtitleChar">
    <w:name w:val="Subtitle Char"/>
    <w:link w:val="Subtitle"/>
    <w:uiPriority w:val="2"/>
    <w:rsid w:val="009C600F"/>
    <w:rPr>
      <w:rFonts w:ascii="Georgia" w:hAnsi="Georgia"/>
      <w:color w:val="808080"/>
      <w:sz w:val="50"/>
    </w:rPr>
  </w:style>
  <w:style w:type="paragraph" w:styleId="Header">
    <w:name w:val="header"/>
    <w:basedOn w:val="Normal"/>
    <w:link w:val="HeaderChar"/>
    <w:uiPriority w:val="5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5"/>
    <w:rsid w:val="00CD21A6"/>
    <w:rPr>
      <w:color w:val="808080"/>
    </w:rPr>
  </w:style>
  <w:style w:type="paragraph" w:styleId="Footer">
    <w:name w:val="footer"/>
    <w:basedOn w:val="Normal"/>
    <w:link w:val="FooterChar"/>
    <w:uiPriority w:val="5"/>
    <w:qFormat/>
    <w:rsid w:val="00C27399"/>
    <w:rPr>
      <w:b/>
      <w:sz w:val="18"/>
    </w:rPr>
  </w:style>
  <w:style w:type="character" w:customStyle="1" w:styleId="FooterChar">
    <w:name w:val="Footer Char"/>
    <w:link w:val="Footer"/>
    <w:uiPriority w:val="5"/>
    <w:rsid w:val="00CD21A6"/>
    <w:rPr>
      <w:b/>
      <w:sz w:val="18"/>
    </w:rPr>
  </w:style>
  <w:style w:type="character" w:styleId="PageNumber">
    <w:name w:val="page number"/>
    <w:uiPriority w:val="4"/>
    <w:unhideWhenUsed/>
    <w:qFormat/>
    <w:locked/>
    <w:rsid w:val="009530F3"/>
    <w:rPr>
      <w:rFonts w:ascii="Calibri" w:hAnsi="Calibri"/>
      <w:b/>
      <w:color w:val="224A76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Heading4"/>
    <w:next w:val="PBOtext"/>
    <w:uiPriority w:val="1"/>
    <w:qFormat/>
    <w:rsid w:val="00564E16"/>
    <w:rPr>
      <w:rFonts w:ascii="Calibri" w:hAnsi="Calibri"/>
      <w:b w:val="0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5"/>
    <w:qFormat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qFormat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 w:line="240" w:lineRule="auto"/>
      <w:ind w:firstLine="210"/>
    </w:pPr>
    <w:rPr>
      <w:rFonts w:ascii="Cambria" w:hAnsi="Cambria"/>
      <w:sz w:val="24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qFormat/>
    <w:rsid w:val="00872117"/>
    <w:rPr>
      <w:rFonts w:ascii="Cambria" w:hAnsi="Cambria"/>
      <w:b/>
      <w:bCs/>
      <w:color w:val="224A76"/>
    </w:rPr>
  </w:style>
  <w:style w:type="character" w:styleId="Emphasis">
    <w:name w:val="Emphasis"/>
    <w:uiPriority w:val="2"/>
    <w:qFormat/>
    <w:rsid w:val="00B771B1"/>
    <w:rPr>
      <w:i/>
      <w:iCs/>
    </w:rPr>
  </w:style>
  <w:style w:type="character" w:styleId="SubtleEmphasis">
    <w:name w:val="Subtle Emphasis"/>
    <w:uiPriority w:val="2"/>
    <w:qFormat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qFormat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"/>
    <w:uiPriority w:val="3"/>
    <w:rsid w:val="009C4DAA"/>
    <w:pPr>
      <w:numPr>
        <w:numId w:val="1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qFormat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qFormat/>
    <w:rsid w:val="00CD21A6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24A76"/>
      <w:sz w:val="22"/>
    </w:rPr>
  </w:style>
  <w:style w:type="character" w:customStyle="1" w:styleId="IntenseQuoteChar">
    <w:name w:val="Intense Quote Char"/>
    <w:link w:val="IntenseQuote"/>
    <w:uiPriority w:val="5"/>
    <w:rsid w:val="00CD21A6"/>
    <w:rPr>
      <w:rFonts w:ascii="Cambria" w:hAnsi="Cambria"/>
      <w:b/>
      <w:bCs/>
      <w:i/>
      <w:iCs/>
      <w:color w:val="224A76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F24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2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3"/>
    <w:rsid w:val="0041606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5E1329"/>
    <w:pPr>
      <w:tabs>
        <w:tab w:val="right" w:leader="underscore" w:pos="8296"/>
      </w:tabs>
      <w:spacing w:after="100" w:line="276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E4AB5"/>
    <w:pPr>
      <w:tabs>
        <w:tab w:val="left" w:pos="1560"/>
        <w:tab w:val="right" w:leader="underscore" w:pos="8296"/>
      </w:tabs>
      <w:spacing w:after="100"/>
      <w:ind w:left="200"/>
    </w:pPr>
  </w:style>
  <w:style w:type="character" w:customStyle="1" w:styleId="Heading2Char">
    <w:name w:val="Heading 2 Char"/>
    <w:basedOn w:val="DefaultParagraphFont"/>
    <w:link w:val="Heading2"/>
    <w:semiHidden/>
    <w:rsid w:val="00A33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33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D6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7D3D88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uiPriority="5"/>
    <w:lsdException w:name="annotation text" w:semiHidden="1" w:unhideWhenUsed="1"/>
    <w:lsdException w:name="footer" w:qFormat="1"/>
    <w:lsdException w:name="index heading" w:locked="1" w:semiHidden="1" w:unhideWhenUsed="1"/>
    <w:lsdException w:name="caption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Strong" w:qFormat="1"/>
    <w:lsdException w:name="Emphasis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Emphasis" w:qFormat="1"/>
    <w:lsdException w:name="Intense Emphasis" w:qFormat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semiHidden/>
    <w:unhideWhenUsed/>
    <w:qFormat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locked/>
    <w:rsid w:val="00A33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locked/>
    <w:rsid w:val="00A33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locked/>
    <w:rsid w:val="002D6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BOtables">
    <w:name w:val="PBO tables"/>
    <w:basedOn w:val="TableNormal"/>
    <w:qFormat/>
    <w:rsid w:val="007A74D9"/>
    <w:tblPr>
      <w:tblStyleRowBandSize w:val="1"/>
    </w:tblPr>
    <w:tcPr>
      <w:vAlign w:val="center"/>
    </w:tcPr>
    <w:tblStylePr w:type="firstRow">
      <w:pPr>
        <w:jc w:val="center"/>
      </w:pPr>
      <w:rPr>
        <w:rFonts w:ascii="Symbol" w:hAnsi="Symbol"/>
        <w:b/>
        <w:color w:val="FFFFFF"/>
        <w:sz w:val="19"/>
      </w:rPr>
      <w:tblPr/>
      <w:tcPr>
        <w:tcBorders>
          <w:insideV w:val="nil"/>
        </w:tcBorders>
        <w:shd w:val="clear" w:color="auto" w:fill="264A76"/>
        <w:vAlign w:val="center"/>
      </w:tcPr>
    </w:tblStylePr>
    <w:tblStylePr w:type="firstCol">
      <w:pPr>
        <w:jc w:val="left"/>
      </w:pPr>
      <w:rPr>
        <w:rFonts w:ascii="Symbol" w:hAnsi="Symbol"/>
        <w:b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D7DCE4"/>
        <w:vAlign w:val="center"/>
      </w:tcPr>
    </w:tblStylePr>
    <w:tblStylePr w:type="band2Horz">
      <w:pPr>
        <w:jc w:val="center"/>
      </w:pPr>
      <w:rPr>
        <w:rFonts w:ascii="Symbol" w:hAnsi="Symbol"/>
        <w:sz w:val="20"/>
      </w:rPr>
      <w:tblPr/>
      <w:tcPr>
        <w:shd w:val="clear" w:color="auto" w:fill="FFFFFF"/>
        <w:vAlign w:val="center"/>
      </w:tcPr>
    </w:tblStylePr>
  </w:style>
  <w:style w:type="paragraph" w:customStyle="1" w:styleId="PBOtext">
    <w:name w:val="PBO text"/>
    <w:basedOn w:val="Normal"/>
    <w:qFormat/>
    <w:rsid w:val="00872117"/>
    <w:pPr>
      <w:spacing w:line="288" w:lineRule="auto"/>
    </w:pPr>
  </w:style>
  <w:style w:type="paragraph" w:customStyle="1" w:styleId="PBObullet">
    <w:name w:val="PBO bullet"/>
    <w:basedOn w:val="PBOtext"/>
    <w:qFormat/>
    <w:rsid w:val="00207C1F"/>
    <w:pPr>
      <w:ind w:left="284" w:hanging="284"/>
    </w:pPr>
  </w:style>
  <w:style w:type="paragraph" w:customStyle="1" w:styleId="PBOheading1">
    <w:name w:val="PBO heading 1"/>
    <w:basedOn w:val="Heading1"/>
    <w:uiPriority w:val="1"/>
    <w:qFormat/>
    <w:rsid w:val="00A33E71"/>
    <w:pPr>
      <w:spacing w:before="680" w:after="480"/>
    </w:pPr>
    <w:rPr>
      <w:rFonts w:ascii="Georgia" w:hAnsi="Georgia"/>
      <w:b w:val="0"/>
      <w:color w:val="264A76"/>
      <w:sz w:val="36"/>
      <w:szCs w:val="24"/>
      <w:lang w:eastAsia="en-US"/>
    </w:rPr>
  </w:style>
  <w:style w:type="paragraph" w:customStyle="1" w:styleId="PBOheading2">
    <w:name w:val="PBO heading 2"/>
    <w:basedOn w:val="Heading2"/>
    <w:uiPriority w:val="1"/>
    <w:qFormat/>
    <w:rsid w:val="00564E16"/>
    <w:pPr>
      <w:spacing w:before="320" w:after="170" w:line="288" w:lineRule="auto"/>
    </w:pPr>
    <w:rPr>
      <w:rFonts w:ascii="Georgia" w:hAnsi="Georgia"/>
      <w:b w:val="0"/>
      <w:color w:val="264A76"/>
      <w:sz w:val="28"/>
    </w:rPr>
  </w:style>
  <w:style w:type="paragraph" w:customStyle="1" w:styleId="PBOfiguretableheading">
    <w:name w:val="PBO figure/table heading"/>
    <w:uiPriority w:val="2"/>
    <w:qFormat/>
    <w:rsid w:val="00B206A8"/>
    <w:pPr>
      <w:spacing w:before="200" w:after="113" w:line="288" w:lineRule="auto"/>
    </w:pPr>
    <w:rPr>
      <w:b/>
      <w:i/>
      <w:color w:val="264A76"/>
      <w:szCs w:val="24"/>
      <w:lang w:eastAsia="en-US"/>
    </w:rPr>
  </w:style>
  <w:style w:type="paragraph" w:customStyle="1" w:styleId="PBOheading3">
    <w:name w:val="PBO heading 3"/>
    <w:basedOn w:val="Heading3"/>
    <w:uiPriority w:val="1"/>
    <w:qFormat/>
    <w:rsid w:val="00564E16"/>
    <w:pPr>
      <w:spacing w:after="200"/>
    </w:pPr>
    <w:rPr>
      <w:rFonts w:ascii="Calibri" w:hAnsi="Calibri"/>
      <w:color w:val="auto"/>
      <w:sz w:val="22"/>
      <w:szCs w:val="24"/>
      <w:lang w:eastAsia="en-US"/>
    </w:rPr>
  </w:style>
  <w:style w:type="paragraph" w:styleId="Title">
    <w:name w:val="Title"/>
    <w:basedOn w:val="Normal"/>
    <w:next w:val="Subtitle"/>
    <w:link w:val="TitleChar"/>
    <w:qFormat/>
    <w:rsid w:val="0075400C"/>
    <w:pPr>
      <w:spacing w:before="4300"/>
      <w:jc w:val="right"/>
    </w:pPr>
    <w:rPr>
      <w:rFonts w:ascii="Georgia" w:hAnsi="Georgia"/>
      <w:color w:val="264A76"/>
      <w:sz w:val="50"/>
    </w:rPr>
  </w:style>
  <w:style w:type="character" w:customStyle="1" w:styleId="TitleChar">
    <w:name w:val="Title Char"/>
    <w:link w:val="Title"/>
    <w:rsid w:val="00CD21A6"/>
    <w:rPr>
      <w:rFonts w:ascii="Georgia" w:hAnsi="Georgia"/>
      <w:color w:val="264A76"/>
      <w:sz w:val="50"/>
    </w:rPr>
  </w:style>
  <w:style w:type="paragraph" w:styleId="Subtitle">
    <w:name w:val="Subtitle"/>
    <w:basedOn w:val="Normal"/>
    <w:next w:val="Normal"/>
    <w:link w:val="SubtitleChar"/>
    <w:uiPriority w:val="2"/>
    <w:qFormat/>
    <w:rsid w:val="002D2904"/>
    <w:pPr>
      <w:jc w:val="right"/>
    </w:pPr>
    <w:rPr>
      <w:rFonts w:ascii="Georgia" w:hAnsi="Georgia"/>
      <w:color w:val="808080"/>
      <w:sz w:val="50"/>
    </w:rPr>
  </w:style>
  <w:style w:type="character" w:customStyle="1" w:styleId="SubtitleChar">
    <w:name w:val="Subtitle Char"/>
    <w:link w:val="Subtitle"/>
    <w:uiPriority w:val="2"/>
    <w:rsid w:val="009C600F"/>
    <w:rPr>
      <w:rFonts w:ascii="Georgia" w:hAnsi="Georgia"/>
      <w:color w:val="808080"/>
      <w:sz w:val="50"/>
    </w:rPr>
  </w:style>
  <w:style w:type="paragraph" w:styleId="Header">
    <w:name w:val="header"/>
    <w:basedOn w:val="Normal"/>
    <w:link w:val="HeaderChar"/>
    <w:uiPriority w:val="5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5"/>
    <w:rsid w:val="00CD21A6"/>
    <w:rPr>
      <w:color w:val="808080"/>
    </w:rPr>
  </w:style>
  <w:style w:type="paragraph" w:styleId="Footer">
    <w:name w:val="footer"/>
    <w:basedOn w:val="Normal"/>
    <w:link w:val="FooterChar"/>
    <w:uiPriority w:val="5"/>
    <w:qFormat/>
    <w:rsid w:val="00C27399"/>
    <w:rPr>
      <w:b/>
      <w:sz w:val="18"/>
    </w:rPr>
  </w:style>
  <w:style w:type="character" w:customStyle="1" w:styleId="FooterChar">
    <w:name w:val="Footer Char"/>
    <w:link w:val="Footer"/>
    <w:uiPriority w:val="5"/>
    <w:rsid w:val="00CD21A6"/>
    <w:rPr>
      <w:b/>
      <w:sz w:val="18"/>
    </w:rPr>
  </w:style>
  <w:style w:type="character" w:styleId="PageNumber">
    <w:name w:val="page number"/>
    <w:uiPriority w:val="4"/>
    <w:unhideWhenUsed/>
    <w:qFormat/>
    <w:locked/>
    <w:rsid w:val="009530F3"/>
    <w:rPr>
      <w:rFonts w:ascii="Calibri" w:hAnsi="Calibri"/>
      <w:b/>
      <w:color w:val="224A76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Heading4"/>
    <w:next w:val="PBOtext"/>
    <w:uiPriority w:val="1"/>
    <w:qFormat/>
    <w:rsid w:val="00564E16"/>
    <w:rPr>
      <w:rFonts w:ascii="Calibri" w:hAnsi="Calibri"/>
      <w:b w:val="0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5"/>
    <w:qFormat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qFormat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 w:line="240" w:lineRule="auto"/>
      <w:ind w:firstLine="210"/>
    </w:pPr>
    <w:rPr>
      <w:rFonts w:ascii="Cambria" w:hAnsi="Cambria"/>
      <w:sz w:val="24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qFormat/>
    <w:rsid w:val="00872117"/>
    <w:rPr>
      <w:rFonts w:ascii="Cambria" w:hAnsi="Cambria"/>
      <w:b/>
      <w:bCs/>
      <w:color w:val="224A76"/>
    </w:rPr>
  </w:style>
  <w:style w:type="character" w:styleId="Emphasis">
    <w:name w:val="Emphasis"/>
    <w:uiPriority w:val="2"/>
    <w:qFormat/>
    <w:rsid w:val="00B771B1"/>
    <w:rPr>
      <w:i/>
      <w:iCs/>
    </w:rPr>
  </w:style>
  <w:style w:type="character" w:styleId="SubtleEmphasis">
    <w:name w:val="Subtle Emphasis"/>
    <w:uiPriority w:val="2"/>
    <w:qFormat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qFormat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"/>
    <w:uiPriority w:val="3"/>
    <w:rsid w:val="009C4DAA"/>
    <w:pPr>
      <w:numPr>
        <w:numId w:val="1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qFormat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qFormat/>
    <w:rsid w:val="00CD21A6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24A76"/>
      <w:sz w:val="22"/>
    </w:rPr>
  </w:style>
  <w:style w:type="character" w:customStyle="1" w:styleId="IntenseQuoteChar">
    <w:name w:val="Intense Quote Char"/>
    <w:link w:val="IntenseQuote"/>
    <w:uiPriority w:val="5"/>
    <w:rsid w:val="00CD21A6"/>
    <w:rPr>
      <w:rFonts w:ascii="Cambria" w:hAnsi="Cambria"/>
      <w:b/>
      <w:bCs/>
      <w:i/>
      <w:iCs/>
      <w:color w:val="224A76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F24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2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3"/>
    <w:rsid w:val="0041606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5E1329"/>
    <w:pPr>
      <w:tabs>
        <w:tab w:val="right" w:leader="underscore" w:pos="8296"/>
      </w:tabs>
      <w:spacing w:after="100" w:line="276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E4AB5"/>
    <w:pPr>
      <w:tabs>
        <w:tab w:val="left" w:pos="1560"/>
        <w:tab w:val="right" w:leader="underscore" w:pos="8296"/>
      </w:tabs>
      <w:spacing w:after="100"/>
      <w:ind w:left="200"/>
    </w:pPr>
  </w:style>
  <w:style w:type="character" w:customStyle="1" w:styleId="Heading2Char">
    <w:name w:val="Heading 2 Char"/>
    <w:basedOn w:val="DefaultParagraphFont"/>
    <w:link w:val="Heading2"/>
    <w:semiHidden/>
    <w:rsid w:val="00A33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33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D6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7D3D8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iganl\AppData\Local\Microsoft\Windows\Temporary%20Internet%20Files\Content.Outlook\HZ0VIN88\PBO%20Word%20Template%20Guide%20v3_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B8CC-1AE6-419A-A5EB-9A4890C1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PBO Word Template Guide v3_unlocked.dot</Template>
  <TotalTime>141</TotalTime>
  <Pages>5</Pages>
  <Words>627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Budget Office template</vt:lpstr>
    </vt:vector>
  </TitlesOfParts>
  <Company>Kylie Smith Design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pages</dc:title>
  <dc:creator>Parliamentary Budget Officer</dc:creator>
  <cp:lastModifiedBy>Moorhouse, Helen (PBO)</cp:lastModifiedBy>
  <cp:revision>53</cp:revision>
  <cp:lastPrinted>2013-10-30T06:20:00Z</cp:lastPrinted>
  <dcterms:created xsi:type="dcterms:W3CDTF">2013-10-09T00:18:00Z</dcterms:created>
  <dcterms:modified xsi:type="dcterms:W3CDTF">2014-12-09T04:22:00Z</dcterms:modified>
</cp:coreProperties>
</file>